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07" w:rsidRPr="008B00E7" w:rsidRDefault="00FA3322" w:rsidP="003C4107">
      <w:pPr>
        <w:pStyle w:val="CM7"/>
        <w:spacing w:line="231" w:lineRule="atLeast"/>
        <w:jc w:val="both"/>
        <w:rPr>
          <w:color w:val="000000"/>
          <w:sz w:val="22"/>
          <w:szCs w:val="22"/>
        </w:rPr>
      </w:pPr>
      <w:r w:rsidRPr="008B00E7">
        <w:rPr>
          <w:noProof/>
          <w:color w:val="000000"/>
          <w:sz w:val="22"/>
          <w:szCs w:val="22"/>
          <w:lang w:bidi="ar-SA"/>
        </w:rPr>
        <w:drawing>
          <wp:inline distT="0" distB="0" distL="0" distR="0">
            <wp:extent cx="1122680" cy="107696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680" cy="1076960"/>
                    </a:xfrm>
                    <a:prstGeom prst="rect">
                      <a:avLst/>
                    </a:prstGeom>
                    <a:noFill/>
                    <a:ln>
                      <a:noFill/>
                    </a:ln>
                  </pic:spPr>
                </pic:pic>
              </a:graphicData>
            </a:graphic>
          </wp:inline>
        </w:drawing>
      </w:r>
    </w:p>
    <w:p w:rsidR="0001775F" w:rsidRPr="008B00E7" w:rsidRDefault="0001775F" w:rsidP="003C4107">
      <w:pPr>
        <w:pStyle w:val="CM7"/>
        <w:spacing w:line="231" w:lineRule="atLeast"/>
        <w:jc w:val="both"/>
        <w:rPr>
          <w:color w:val="000000"/>
          <w:sz w:val="22"/>
          <w:szCs w:val="22"/>
        </w:rPr>
      </w:pPr>
    </w:p>
    <w:p w:rsidR="003C4107" w:rsidRPr="008B00E7" w:rsidRDefault="002D14FE" w:rsidP="003C4107">
      <w:pPr>
        <w:pStyle w:val="CM7"/>
        <w:spacing w:line="231" w:lineRule="atLeast"/>
        <w:jc w:val="both"/>
        <w:rPr>
          <w:color w:val="000000"/>
          <w:sz w:val="22"/>
          <w:szCs w:val="22"/>
        </w:rPr>
      </w:pPr>
      <w:r w:rsidRPr="008B00E7">
        <w:rPr>
          <w:color w:val="000000"/>
          <w:sz w:val="22"/>
        </w:rPr>
        <w:t xml:space="preserve">C/ Manuel de </w:t>
      </w:r>
      <w:proofErr w:type="spellStart"/>
      <w:r w:rsidRPr="008B00E7">
        <w:rPr>
          <w:color w:val="000000"/>
          <w:sz w:val="22"/>
        </w:rPr>
        <w:t>Falla</w:t>
      </w:r>
      <w:proofErr w:type="spellEnd"/>
      <w:r w:rsidRPr="008B00E7">
        <w:rPr>
          <w:color w:val="000000"/>
          <w:sz w:val="22"/>
        </w:rPr>
        <w:t xml:space="preserve"> No. 14-2º-</w:t>
      </w:r>
      <w:proofErr w:type="spellStart"/>
      <w:r w:rsidRPr="008B00E7">
        <w:rPr>
          <w:color w:val="000000"/>
          <w:sz w:val="22"/>
        </w:rPr>
        <w:t>Dcha</w:t>
      </w:r>
      <w:proofErr w:type="spellEnd"/>
      <w:r w:rsidRPr="008B00E7">
        <w:rPr>
          <w:color w:val="000000"/>
          <w:sz w:val="22"/>
        </w:rPr>
        <w:t xml:space="preserve"> </w:t>
      </w:r>
    </w:p>
    <w:p w:rsidR="003C4107" w:rsidRPr="00935832" w:rsidRDefault="002D14FE" w:rsidP="003C4107">
      <w:pPr>
        <w:pStyle w:val="CM7"/>
        <w:spacing w:line="231" w:lineRule="atLeast"/>
        <w:jc w:val="both"/>
        <w:rPr>
          <w:color w:val="000000"/>
          <w:sz w:val="22"/>
          <w:szCs w:val="22"/>
          <w:lang w:val="de-DE"/>
        </w:rPr>
      </w:pPr>
      <w:r w:rsidRPr="00935832">
        <w:rPr>
          <w:color w:val="000000"/>
          <w:sz w:val="22"/>
          <w:lang w:val="de-DE"/>
        </w:rPr>
        <w:t xml:space="preserve">18005 Granada </w:t>
      </w:r>
    </w:p>
    <w:p w:rsidR="002D14FE" w:rsidRPr="00935832" w:rsidRDefault="002D14FE" w:rsidP="003C4107">
      <w:pPr>
        <w:pStyle w:val="CM7"/>
        <w:spacing w:line="231" w:lineRule="atLeast"/>
        <w:jc w:val="both"/>
        <w:rPr>
          <w:color w:val="000000"/>
          <w:sz w:val="22"/>
          <w:szCs w:val="22"/>
          <w:lang w:val="de-DE"/>
        </w:rPr>
      </w:pPr>
      <w:r w:rsidRPr="00935832">
        <w:rPr>
          <w:color w:val="000000"/>
          <w:sz w:val="22"/>
          <w:lang w:val="de-DE"/>
        </w:rPr>
        <w:t xml:space="preserve">Tel. 958 29 08 14 Fax 959 29 57 01 </w:t>
      </w:r>
    </w:p>
    <w:p w:rsidR="003C4107" w:rsidRPr="00935832" w:rsidRDefault="003C4107" w:rsidP="003C4107">
      <w:pPr>
        <w:pStyle w:val="CM8"/>
        <w:spacing w:line="276" w:lineRule="atLeast"/>
        <w:ind w:right="3885"/>
        <w:jc w:val="both"/>
        <w:rPr>
          <w:b/>
          <w:bCs/>
          <w:color w:val="000000"/>
          <w:sz w:val="22"/>
          <w:szCs w:val="22"/>
          <w:lang w:val="de-DE"/>
        </w:rPr>
      </w:pPr>
    </w:p>
    <w:p w:rsidR="003C4107" w:rsidRPr="00935832" w:rsidRDefault="003C0FD0" w:rsidP="003C4107">
      <w:pPr>
        <w:pStyle w:val="CM8"/>
        <w:spacing w:line="276" w:lineRule="atLeast"/>
        <w:ind w:right="1579"/>
        <w:jc w:val="both"/>
        <w:rPr>
          <w:b/>
          <w:bCs/>
          <w:color w:val="000000"/>
          <w:sz w:val="22"/>
          <w:szCs w:val="22"/>
          <w:lang w:val="de-DE"/>
        </w:rPr>
      </w:pPr>
      <w:r w:rsidRPr="00935832">
        <w:rPr>
          <w:b/>
          <w:color w:val="000000"/>
          <w:sz w:val="22"/>
          <w:lang w:val="de-DE"/>
        </w:rPr>
        <w:t>Nachbarschaftsversammlung</w:t>
      </w:r>
      <w:r w:rsidR="002D14FE" w:rsidRPr="00935832">
        <w:rPr>
          <w:b/>
          <w:color w:val="000000"/>
          <w:sz w:val="22"/>
          <w:lang w:val="de-DE"/>
        </w:rPr>
        <w:t>, 22</w:t>
      </w:r>
      <w:r w:rsidRPr="00935832">
        <w:rPr>
          <w:b/>
          <w:color w:val="000000"/>
          <w:sz w:val="22"/>
          <w:lang w:val="de-DE"/>
        </w:rPr>
        <w:t>.</w:t>
      </w:r>
      <w:r w:rsidR="002D14FE" w:rsidRPr="00935832">
        <w:rPr>
          <w:b/>
          <w:color w:val="000000"/>
          <w:sz w:val="22"/>
          <w:lang w:val="de-DE"/>
        </w:rPr>
        <w:t xml:space="preserve"> Februar 2014 </w:t>
      </w:r>
    </w:p>
    <w:p w:rsidR="002D14FE" w:rsidRPr="00935832" w:rsidRDefault="003C4107" w:rsidP="003C4107">
      <w:pPr>
        <w:pStyle w:val="CM8"/>
        <w:spacing w:line="276" w:lineRule="atLeast"/>
        <w:ind w:right="1579"/>
        <w:jc w:val="both"/>
        <w:rPr>
          <w:color w:val="000000"/>
          <w:sz w:val="22"/>
          <w:szCs w:val="22"/>
          <w:lang w:val="de-DE"/>
        </w:rPr>
      </w:pPr>
      <w:r w:rsidRPr="00935832">
        <w:rPr>
          <w:b/>
          <w:color w:val="000000"/>
          <w:sz w:val="22"/>
          <w:lang w:val="de-DE"/>
        </w:rPr>
        <w:t xml:space="preserve">Cármenes del Mar </w:t>
      </w:r>
    </w:p>
    <w:p w:rsidR="002D14FE" w:rsidRPr="00935832" w:rsidRDefault="002D14FE" w:rsidP="003C4107">
      <w:pPr>
        <w:pStyle w:val="Default"/>
        <w:jc w:val="both"/>
        <w:rPr>
          <w:sz w:val="22"/>
          <w:szCs w:val="22"/>
          <w:lang w:val="de-DE"/>
        </w:rPr>
      </w:pPr>
      <w:r w:rsidRPr="00935832">
        <w:rPr>
          <w:sz w:val="22"/>
          <w:lang w:val="de-DE"/>
        </w:rPr>
        <w:t xml:space="preserve"> </w:t>
      </w:r>
    </w:p>
    <w:p w:rsidR="002D14FE" w:rsidRPr="00935832" w:rsidRDefault="003C0FD0" w:rsidP="003C4107">
      <w:pPr>
        <w:pStyle w:val="CM8"/>
        <w:spacing w:line="293" w:lineRule="atLeast"/>
        <w:jc w:val="both"/>
        <w:rPr>
          <w:color w:val="000000"/>
          <w:sz w:val="22"/>
          <w:szCs w:val="22"/>
          <w:lang w:val="de-DE"/>
        </w:rPr>
      </w:pPr>
      <w:r w:rsidRPr="00935832">
        <w:rPr>
          <w:b/>
          <w:color w:val="000000"/>
          <w:sz w:val="22"/>
          <w:u w:val="single"/>
          <w:lang w:val="de-DE"/>
        </w:rPr>
        <w:t>Zusammenfassung der Stellungnahme</w:t>
      </w:r>
      <w:r w:rsidR="002D14FE" w:rsidRPr="00935832">
        <w:rPr>
          <w:b/>
          <w:color w:val="000000"/>
          <w:sz w:val="22"/>
          <w:u w:val="single"/>
          <w:lang w:val="de-DE"/>
        </w:rPr>
        <w:t xml:space="preserve">: </w:t>
      </w:r>
    </w:p>
    <w:p w:rsidR="003C4107" w:rsidRPr="00935832" w:rsidRDefault="003C4107" w:rsidP="003C4107">
      <w:pPr>
        <w:pStyle w:val="CM8"/>
        <w:spacing w:line="293" w:lineRule="atLeast"/>
        <w:jc w:val="both"/>
        <w:rPr>
          <w:color w:val="000000"/>
          <w:sz w:val="22"/>
          <w:szCs w:val="22"/>
          <w:lang w:val="de-DE"/>
        </w:rPr>
      </w:pPr>
    </w:p>
    <w:p w:rsidR="003C0FD0" w:rsidRPr="003C0FD0" w:rsidRDefault="003C0FD0" w:rsidP="003C4107">
      <w:pPr>
        <w:pStyle w:val="CM8"/>
        <w:spacing w:line="293" w:lineRule="atLeast"/>
        <w:jc w:val="both"/>
        <w:rPr>
          <w:color w:val="000000"/>
          <w:sz w:val="22"/>
          <w:lang w:val="de-DE"/>
        </w:rPr>
      </w:pPr>
      <w:r w:rsidRPr="003C0FD0">
        <w:rPr>
          <w:color w:val="000000"/>
          <w:sz w:val="22"/>
          <w:lang w:val="de-DE"/>
        </w:rPr>
        <w:t xml:space="preserve">Unten stehend befinden sich Auszüge </w:t>
      </w:r>
      <w:r>
        <w:rPr>
          <w:color w:val="000000"/>
          <w:sz w:val="22"/>
          <w:lang w:val="de-DE"/>
        </w:rPr>
        <w:t xml:space="preserve">des Gegenstandes </w:t>
      </w:r>
      <w:r w:rsidRPr="003C0FD0">
        <w:rPr>
          <w:color w:val="000000"/>
          <w:sz w:val="22"/>
          <w:lang w:val="de-DE"/>
        </w:rPr>
        <w:t>der Beratungen von Rechtsanwalt Hilario Aranda Espejo</w:t>
      </w:r>
      <w:r>
        <w:rPr>
          <w:color w:val="000000"/>
          <w:sz w:val="22"/>
          <w:lang w:val="de-DE"/>
        </w:rPr>
        <w:t xml:space="preserve"> als Einführung zu der Versammlung.</w:t>
      </w:r>
    </w:p>
    <w:p w:rsidR="003C0FD0" w:rsidRPr="003C0FD0" w:rsidRDefault="003C0FD0" w:rsidP="003C4107">
      <w:pPr>
        <w:pStyle w:val="CM8"/>
        <w:spacing w:line="293" w:lineRule="atLeast"/>
        <w:jc w:val="both"/>
        <w:rPr>
          <w:color w:val="000000"/>
          <w:sz w:val="22"/>
          <w:lang w:val="de-DE"/>
        </w:rPr>
      </w:pPr>
    </w:p>
    <w:p w:rsidR="002D14FE" w:rsidRPr="00935832" w:rsidRDefault="002D14FE" w:rsidP="003C4107">
      <w:pPr>
        <w:pStyle w:val="Default"/>
        <w:jc w:val="both"/>
        <w:rPr>
          <w:color w:val="auto"/>
          <w:sz w:val="22"/>
          <w:szCs w:val="22"/>
          <w:lang w:val="de-DE"/>
        </w:rPr>
      </w:pPr>
    </w:p>
    <w:p w:rsidR="002D14FE" w:rsidRPr="00935832" w:rsidRDefault="003C0FD0" w:rsidP="003C4107">
      <w:pPr>
        <w:pStyle w:val="CM1"/>
        <w:jc w:val="both"/>
        <w:rPr>
          <w:sz w:val="22"/>
          <w:szCs w:val="22"/>
          <w:u w:val="single"/>
          <w:lang w:val="de-DE"/>
        </w:rPr>
      </w:pPr>
      <w:r w:rsidRPr="00935832">
        <w:rPr>
          <w:b/>
          <w:sz w:val="22"/>
          <w:u w:val="single"/>
          <w:lang w:val="de-DE"/>
        </w:rPr>
        <w:t>Zivilprozess</w:t>
      </w:r>
    </w:p>
    <w:p w:rsidR="003C0FD0" w:rsidRPr="003F2450" w:rsidRDefault="003C0FD0" w:rsidP="003C4107">
      <w:pPr>
        <w:pStyle w:val="CM7"/>
        <w:spacing w:line="293" w:lineRule="atLeast"/>
        <w:jc w:val="both"/>
        <w:rPr>
          <w:sz w:val="22"/>
          <w:lang w:val="de-DE"/>
        </w:rPr>
      </w:pPr>
      <w:r w:rsidRPr="00935832">
        <w:rPr>
          <w:sz w:val="22"/>
          <w:lang w:val="de-DE"/>
        </w:rPr>
        <w:t xml:space="preserve">Das gerichtliche Verfahren gegen </w:t>
      </w:r>
      <w:r w:rsidR="00935832" w:rsidRPr="00935832">
        <w:rPr>
          <w:sz w:val="22"/>
          <w:lang w:val="de-DE"/>
        </w:rPr>
        <w:t>d</w:t>
      </w:r>
      <w:r w:rsidR="00935832">
        <w:rPr>
          <w:sz w:val="22"/>
          <w:lang w:val="de-DE"/>
        </w:rPr>
        <w:t xml:space="preserve">ie Bau- und Immobilienmakler wird </w:t>
      </w:r>
      <w:r w:rsidR="00F52764">
        <w:rPr>
          <w:sz w:val="22"/>
          <w:lang w:val="de-DE"/>
        </w:rPr>
        <w:t xml:space="preserve">gerade </w:t>
      </w:r>
      <w:r w:rsidR="00935832">
        <w:rPr>
          <w:sz w:val="22"/>
          <w:lang w:val="de-DE"/>
        </w:rPr>
        <w:t xml:space="preserve">im Gericht erster Instanz entschieden. </w:t>
      </w:r>
      <w:r w:rsidR="00935832" w:rsidRPr="003F2450">
        <w:rPr>
          <w:sz w:val="22"/>
          <w:lang w:val="de-DE"/>
        </w:rPr>
        <w:t xml:space="preserve">Ein gemeinsames Urteil </w:t>
      </w:r>
      <w:r w:rsidR="003F2450" w:rsidRPr="003F2450">
        <w:rPr>
          <w:sz w:val="22"/>
          <w:lang w:val="de-DE"/>
        </w:rPr>
        <w:t xml:space="preserve">ist zu erwarten, </w:t>
      </w:r>
      <w:r w:rsidR="00D13099" w:rsidRPr="003F2450">
        <w:rPr>
          <w:sz w:val="22"/>
          <w:lang w:val="de-DE"/>
        </w:rPr>
        <w:t>aber</w:t>
      </w:r>
      <w:r w:rsidR="00D13099">
        <w:rPr>
          <w:sz w:val="22"/>
          <w:lang w:val="de-DE"/>
        </w:rPr>
        <w:t xml:space="preserve"> </w:t>
      </w:r>
      <w:r w:rsidR="003F2450">
        <w:rPr>
          <w:sz w:val="22"/>
          <w:lang w:val="de-DE"/>
        </w:rPr>
        <w:t xml:space="preserve">gegen </w:t>
      </w:r>
      <w:r w:rsidR="003F2450" w:rsidRPr="003F2450">
        <w:rPr>
          <w:sz w:val="22"/>
          <w:lang w:val="de-DE"/>
        </w:rPr>
        <w:t xml:space="preserve">das </w:t>
      </w:r>
      <w:r w:rsidR="00D13099">
        <w:rPr>
          <w:sz w:val="22"/>
          <w:lang w:val="de-DE"/>
        </w:rPr>
        <w:t>voraussichtlich</w:t>
      </w:r>
      <w:r w:rsidR="003F2450" w:rsidRPr="003F2450">
        <w:rPr>
          <w:sz w:val="22"/>
          <w:lang w:val="de-DE"/>
        </w:rPr>
        <w:t xml:space="preserve"> </w:t>
      </w:r>
      <w:r w:rsidR="003F2450">
        <w:rPr>
          <w:sz w:val="22"/>
          <w:lang w:val="de-DE"/>
        </w:rPr>
        <w:t>vor Juni ergehende Urteil</w:t>
      </w:r>
      <w:r w:rsidR="003F2450" w:rsidRPr="003F2450">
        <w:rPr>
          <w:sz w:val="22"/>
          <w:lang w:val="de-DE"/>
        </w:rPr>
        <w:t xml:space="preserve"> </w:t>
      </w:r>
      <w:r w:rsidR="003F2450">
        <w:rPr>
          <w:sz w:val="22"/>
          <w:lang w:val="de-DE"/>
        </w:rPr>
        <w:t>wird vor dem Berufungsgericht der Provinz Granada Berufung und dann Kassationsbeschwerde vor dem Obersten Gerichtshof eingelegt werden. Eine bestimmte und vollstreckbare Entscheidung wird nicht vor Ablauf von ca. sechs Jahren erwartet. In der Zwischenzeit verschlechtert sich die Urbanis</w:t>
      </w:r>
      <w:r w:rsidR="00F52764">
        <w:rPr>
          <w:sz w:val="22"/>
          <w:lang w:val="de-DE"/>
        </w:rPr>
        <w:t>ation</w:t>
      </w:r>
      <w:r w:rsidR="003F2450">
        <w:rPr>
          <w:sz w:val="22"/>
          <w:lang w:val="de-DE"/>
        </w:rPr>
        <w:t xml:space="preserve"> und deshalb müssen gleichzeitig andere Maßnahmen zur Fortsetzung des </w:t>
      </w:r>
      <w:r w:rsidR="00F52764">
        <w:rPr>
          <w:sz w:val="22"/>
          <w:lang w:val="de-DE"/>
        </w:rPr>
        <w:t>Rechtsstreits</w:t>
      </w:r>
      <w:r w:rsidR="003F2450">
        <w:rPr>
          <w:sz w:val="22"/>
          <w:lang w:val="de-DE"/>
        </w:rPr>
        <w:t xml:space="preserve"> ergriffen werden.</w:t>
      </w:r>
    </w:p>
    <w:p w:rsidR="003C0FD0" w:rsidRPr="003F2450" w:rsidRDefault="003C0FD0" w:rsidP="003C4107">
      <w:pPr>
        <w:pStyle w:val="CM7"/>
        <w:spacing w:line="293" w:lineRule="atLeast"/>
        <w:jc w:val="both"/>
        <w:rPr>
          <w:sz w:val="22"/>
          <w:lang w:val="de-DE"/>
        </w:rPr>
      </w:pPr>
    </w:p>
    <w:p w:rsidR="002D14FE" w:rsidRPr="00D13099" w:rsidRDefault="002D14FE" w:rsidP="003C4107">
      <w:pPr>
        <w:pStyle w:val="Default"/>
        <w:jc w:val="both"/>
        <w:rPr>
          <w:color w:val="auto"/>
          <w:sz w:val="22"/>
          <w:szCs w:val="22"/>
          <w:lang w:val="de-DE"/>
        </w:rPr>
      </w:pPr>
    </w:p>
    <w:p w:rsidR="002D14FE" w:rsidRPr="008B00E7" w:rsidRDefault="002D14FE" w:rsidP="003F2450">
      <w:pPr>
        <w:pStyle w:val="Default"/>
        <w:jc w:val="both"/>
        <w:rPr>
          <w:b/>
          <w:sz w:val="22"/>
          <w:szCs w:val="22"/>
          <w:u w:val="single"/>
        </w:rPr>
      </w:pPr>
      <w:r w:rsidRPr="00D13099">
        <w:rPr>
          <w:color w:val="auto"/>
          <w:sz w:val="22"/>
          <w:lang w:val="de-DE"/>
        </w:rPr>
        <w:t xml:space="preserve"> </w:t>
      </w:r>
      <w:proofErr w:type="spellStart"/>
      <w:r w:rsidR="003F2450">
        <w:rPr>
          <w:b/>
          <w:sz w:val="22"/>
          <w:u w:val="single"/>
        </w:rPr>
        <w:t>Andere</w:t>
      </w:r>
      <w:proofErr w:type="spellEnd"/>
      <w:r w:rsidR="003F2450">
        <w:rPr>
          <w:b/>
          <w:sz w:val="22"/>
          <w:u w:val="single"/>
        </w:rPr>
        <w:t xml:space="preserve"> </w:t>
      </w:r>
      <w:proofErr w:type="spellStart"/>
      <w:r w:rsidR="003F2450">
        <w:rPr>
          <w:b/>
          <w:sz w:val="22"/>
          <w:u w:val="single"/>
        </w:rPr>
        <w:t>Gerichtsverfahren</w:t>
      </w:r>
      <w:proofErr w:type="spellEnd"/>
      <w:r w:rsidRPr="008B00E7">
        <w:rPr>
          <w:b/>
          <w:sz w:val="22"/>
          <w:u w:val="single"/>
        </w:rPr>
        <w:t xml:space="preserve">. </w:t>
      </w:r>
    </w:p>
    <w:p w:rsidR="007A42D8" w:rsidRPr="008B00E7" w:rsidRDefault="007A42D8" w:rsidP="003C4107">
      <w:pPr>
        <w:pStyle w:val="CM1"/>
        <w:jc w:val="both"/>
        <w:rPr>
          <w:b/>
          <w:bCs/>
          <w:sz w:val="22"/>
          <w:szCs w:val="22"/>
        </w:rPr>
      </w:pPr>
    </w:p>
    <w:p w:rsidR="00D13099" w:rsidRPr="00D13099" w:rsidRDefault="002D14FE" w:rsidP="003C4107">
      <w:pPr>
        <w:pStyle w:val="CM1"/>
        <w:jc w:val="both"/>
        <w:rPr>
          <w:sz w:val="22"/>
          <w:lang w:val="de-DE"/>
        </w:rPr>
      </w:pPr>
      <w:r w:rsidRPr="00D13099">
        <w:rPr>
          <w:b/>
          <w:sz w:val="22"/>
          <w:lang w:val="de-DE"/>
        </w:rPr>
        <w:t xml:space="preserve">1.- </w:t>
      </w:r>
      <w:r w:rsidR="00D13099" w:rsidRPr="00D13099">
        <w:rPr>
          <w:b/>
          <w:sz w:val="22"/>
          <w:lang w:val="de-DE"/>
        </w:rPr>
        <w:t xml:space="preserve">Klagebegehren gegen die Verwaltung. </w:t>
      </w:r>
      <w:r w:rsidR="00D13099" w:rsidRPr="00D13099">
        <w:rPr>
          <w:sz w:val="22"/>
          <w:lang w:val="de-DE"/>
        </w:rPr>
        <w:t xml:space="preserve">Die Geschädigten und </w:t>
      </w:r>
      <w:r w:rsidR="00D13099">
        <w:rPr>
          <w:sz w:val="22"/>
          <w:lang w:val="de-DE"/>
        </w:rPr>
        <w:t>Eigentümerverbände können ihre Forderungen gegen die Verwaltung (regional und lokal) unter folgenden Überschriften anmelden:</w:t>
      </w:r>
    </w:p>
    <w:p w:rsidR="00863E9E" w:rsidRPr="00863E9E" w:rsidRDefault="002D14FE" w:rsidP="00863E9E">
      <w:pPr>
        <w:pStyle w:val="CM8"/>
        <w:spacing w:line="293" w:lineRule="atLeast"/>
        <w:ind w:left="707"/>
        <w:jc w:val="both"/>
        <w:rPr>
          <w:sz w:val="22"/>
          <w:lang w:val="de-DE"/>
        </w:rPr>
      </w:pPr>
      <w:r w:rsidRPr="00D13099">
        <w:rPr>
          <w:sz w:val="22"/>
          <w:lang w:val="de-DE"/>
        </w:rPr>
        <w:t xml:space="preserve">a).- </w:t>
      </w:r>
      <w:r w:rsidR="00D13099" w:rsidRPr="00D13099">
        <w:rPr>
          <w:sz w:val="22"/>
          <w:lang w:val="de-DE"/>
        </w:rPr>
        <w:t xml:space="preserve">Ihre Pflicht, die </w:t>
      </w:r>
      <w:r w:rsidR="00F52764">
        <w:rPr>
          <w:sz w:val="22"/>
          <w:lang w:val="de-DE"/>
        </w:rPr>
        <w:t>Urbanisation</w:t>
      </w:r>
      <w:r w:rsidR="00D13099" w:rsidRPr="00D13099">
        <w:rPr>
          <w:sz w:val="22"/>
          <w:lang w:val="de-DE"/>
        </w:rPr>
        <w:t xml:space="preserve"> gemäß </w:t>
      </w:r>
      <w:r w:rsidR="00863E9E">
        <w:rPr>
          <w:sz w:val="22"/>
          <w:lang w:val="de-DE"/>
        </w:rPr>
        <w:t>Nebenleistungsvorschriften zu reparieren.</w:t>
      </w:r>
    </w:p>
    <w:p w:rsidR="00863E9E" w:rsidRPr="00A23A27" w:rsidRDefault="002D14FE" w:rsidP="003C4107">
      <w:pPr>
        <w:pStyle w:val="CM8"/>
        <w:spacing w:line="293" w:lineRule="atLeast"/>
        <w:ind w:left="707"/>
        <w:jc w:val="both"/>
        <w:rPr>
          <w:sz w:val="22"/>
          <w:lang w:val="de-DE"/>
        </w:rPr>
      </w:pPr>
      <w:r w:rsidRPr="00A23A27">
        <w:rPr>
          <w:sz w:val="22"/>
          <w:lang w:val="de-DE"/>
        </w:rPr>
        <w:t xml:space="preserve">b).- </w:t>
      </w:r>
      <w:r w:rsidR="00A23A27" w:rsidRPr="00A23A27">
        <w:rPr>
          <w:sz w:val="22"/>
          <w:lang w:val="de-DE"/>
        </w:rPr>
        <w:t xml:space="preserve">Die Haftung der Verwaltung für </w:t>
      </w:r>
      <w:r w:rsidR="00A23A27">
        <w:rPr>
          <w:sz w:val="22"/>
          <w:lang w:val="de-DE"/>
        </w:rPr>
        <w:t xml:space="preserve">Sachschäden durch Unterlassung </w:t>
      </w:r>
      <w:r w:rsidR="00F52764">
        <w:rPr>
          <w:sz w:val="22"/>
          <w:lang w:val="de-DE"/>
        </w:rPr>
        <w:t>von</w:t>
      </w:r>
      <w:r w:rsidR="00A23A27">
        <w:rPr>
          <w:sz w:val="22"/>
          <w:lang w:val="de-DE"/>
        </w:rPr>
        <w:t xml:space="preserve"> Reparaturen und Handlungen zur Erfüllung ihrer Reparaturpflicht</w:t>
      </w:r>
      <w:r w:rsidR="006457DE">
        <w:rPr>
          <w:sz w:val="22"/>
          <w:lang w:val="de-DE"/>
        </w:rPr>
        <w:t>, wodurch die Gelegenheit zur Behebung der Mängel nicht wahrgenommen und eine Verschlechterung des Zustandes der Gebäude verursacht wurde.</w:t>
      </w:r>
    </w:p>
    <w:p w:rsidR="00863E9E" w:rsidRPr="00A23A27" w:rsidRDefault="00863E9E" w:rsidP="003C4107">
      <w:pPr>
        <w:pStyle w:val="CM8"/>
        <w:spacing w:line="293" w:lineRule="atLeast"/>
        <w:ind w:left="707"/>
        <w:jc w:val="both"/>
        <w:rPr>
          <w:sz w:val="22"/>
          <w:lang w:val="de-DE"/>
        </w:rPr>
      </w:pPr>
    </w:p>
    <w:p w:rsidR="006457DE" w:rsidRPr="006457DE" w:rsidRDefault="006457DE" w:rsidP="003C4107">
      <w:pPr>
        <w:pStyle w:val="CM8"/>
        <w:spacing w:line="293" w:lineRule="atLeast"/>
        <w:ind w:firstLine="707"/>
        <w:jc w:val="both"/>
        <w:rPr>
          <w:sz w:val="22"/>
          <w:lang w:val="de-DE"/>
        </w:rPr>
      </w:pPr>
      <w:r>
        <w:rPr>
          <w:sz w:val="22"/>
          <w:lang w:val="de-DE"/>
        </w:rPr>
        <w:t>Der Prozess</w:t>
      </w:r>
      <w:r w:rsidRPr="006457DE">
        <w:rPr>
          <w:sz w:val="22"/>
          <w:lang w:val="de-DE"/>
        </w:rPr>
        <w:t xml:space="preserve"> ist in der erst</w:t>
      </w:r>
      <w:r>
        <w:rPr>
          <w:sz w:val="22"/>
          <w:lang w:val="de-DE"/>
        </w:rPr>
        <w:t>en Phase ein Verwaltungsv</w:t>
      </w:r>
      <w:r w:rsidR="00F52764">
        <w:rPr>
          <w:sz w:val="22"/>
          <w:lang w:val="de-DE"/>
        </w:rPr>
        <w:t>erfahren und danach ein Gerichtsv</w:t>
      </w:r>
      <w:r>
        <w:rPr>
          <w:sz w:val="22"/>
          <w:lang w:val="de-DE"/>
        </w:rPr>
        <w:t>erfahren der verwaltungsstreitigen Gerichtsbarkeit. Im Durchschnitt dauert es ca. 3 Jahre bis ein</w:t>
      </w:r>
      <w:r w:rsidR="002F26E1">
        <w:rPr>
          <w:sz w:val="22"/>
          <w:lang w:val="de-DE"/>
        </w:rPr>
        <w:t>e vollstreckbare Entscheidung gefällt wird.</w:t>
      </w:r>
    </w:p>
    <w:p w:rsidR="007A42D8" w:rsidRPr="00F52764" w:rsidRDefault="007A42D8" w:rsidP="003C4107">
      <w:pPr>
        <w:pStyle w:val="CM1"/>
        <w:jc w:val="both"/>
        <w:rPr>
          <w:b/>
          <w:bCs/>
          <w:sz w:val="22"/>
          <w:szCs w:val="22"/>
          <w:lang w:val="de-DE"/>
        </w:rPr>
      </w:pPr>
    </w:p>
    <w:p w:rsidR="002F26E1" w:rsidRPr="002F26E1" w:rsidRDefault="002D14FE" w:rsidP="003C4107">
      <w:pPr>
        <w:pStyle w:val="CM1"/>
        <w:jc w:val="both"/>
        <w:rPr>
          <w:sz w:val="22"/>
          <w:lang w:val="de-DE"/>
        </w:rPr>
      </w:pPr>
      <w:r w:rsidRPr="002F26E1">
        <w:rPr>
          <w:b/>
          <w:sz w:val="22"/>
          <w:lang w:val="de-DE"/>
        </w:rPr>
        <w:t xml:space="preserve">2.- </w:t>
      </w:r>
      <w:r w:rsidR="002F26E1" w:rsidRPr="002F26E1">
        <w:rPr>
          <w:b/>
          <w:sz w:val="22"/>
          <w:lang w:val="de-DE"/>
        </w:rPr>
        <w:t>Klagebegehren aufgrund von Immobilienbetrug</w:t>
      </w:r>
      <w:r w:rsidRPr="002F26E1">
        <w:rPr>
          <w:sz w:val="22"/>
          <w:lang w:val="de-DE"/>
        </w:rPr>
        <w:t xml:space="preserve">. </w:t>
      </w:r>
      <w:r w:rsidR="006D769A">
        <w:rPr>
          <w:sz w:val="22"/>
          <w:lang w:val="de-DE"/>
        </w:rPr>
        <w:t>D</w:t>
      </w:r>
      <w:r w:rsidR="002F26E1">
        <w:rPr>
          <w:sz w:val="22"/>
          <w:lang w:val="de-DE"/>
        </w:rPr>
        <w:t xml:space="preserve">iese Klage </w:t>
      </w:r>
      <w:r w:rsidR="006D769A">
        <w:rPr>
          <w:sz w:val="22"/>
          <w:lang w:val="de-DE"/>
        </w:rPr>
        <w:t xml:space="preserve">verfolgt </w:t>
      </w:r>
      <w:r w:rsidR="002F26E1">
        <w:rPr>
          <w:sz w:val="22"/>
          <w:lang w:val="de-DE"/>
        </w:rPr>
        <w:t>Straftaten</w:t>
      </w:r>
      <w:r w:rsidR="002F26E1" w:rsidRPr="002F26E1">
        <w:rPr>
          <w:sz w:val="22"/>
          <w:lang w:val="de-DE"/>
        </w:rPr>
        <w:t xml:space="preserve"> </w:t>
      </w:r>
      <w:r w:rsidR="002F26E1">
        <w:rPr>
          <w:sz w:val="22"/>
          <w:lang w:val="de-DE"/>
        </w:rPr>
        <w:t>von natürlichen Personen</w:t>
      </w:r>
      <w:r w:rsidR="006D769A" w:rsidRPr="006D769A">
        <w:rPr>
          <w:sz w:val="22"/>
          <w:lang w:val="de-DE"/>
        </w:rPr>
        <w:t xml:space="preserve"> </w:t>
      </w:r>
      <w:r w:rsidR="006D769A">
        <w:rPr>
          <w:sz w:val="22"/>
          <w:lang w:val="de-DE"/>
        </w:rPr>
        <w:t>strafrechtlich</w:t>
      </w:r>
      <w:r w:rsidR="002F26E1">
        <w:rPr>
          <w:sz w:val="22"/>
          <w:lang w:val="de-DE"/>
        </w:rPr>
        <w:t xml:space="preserve">. In diesem Fall handelt es sich dabei um Immobilienbetrug und Insolvenzstraftaten, insbesondere </w:t>
      </w:r>
      <w:r w:rsidR="00AF1D79">
        <w:rPr>
          <w:sz w:val="22"/>
          <w:lang w:val="de-DE"/>
        </w:rPr>
        <w:t>werden die</w:t>
      </w:r>
      <w:r w:rsidR="002F26E1">
        <w:rPr>
          <w:sz w:val="22"/>
          <w:lang w:val="de-DE"/>
        </w:rPr>
        <w:t xml:space="preserve"> Geschäftsführer der Gesellschaft </w:t>
      </w:r>
      <w:r w:rsidR="002F26E1" w:rsidRPr="002F26E1">
        <w:rPr>
          <w:sz w:val="22"/>
          <w:lang w:val="de-DE"/>
        </w:rPr>
        <w:t xml:space="preserve">Cerro Gordo S.L. </w:t>
      </w:r>
      <w:r w:rsidR="002F26E1">
        <w:rPr>
          <w:sz w:val="22"/>
          <w:lang w:val="de-DE"/>
        </w:rPr>
        <w:t>u</w:t>
      </w:r>
      <w:r w:rsidR="002F26E1" w:rsidRPr="002F26E1">
        <w:rPr>
          <w:sz w:val="22"/>
          <w:lang w:val="de-DE"/>
        </w:rPr>
        <w:t>nd Comarex</w:t>
      </w:r>
      <w:r w:rsidR="002F26E1">
        <w:rPr>
          <w:sz w:val="22"/>
          <w:lang w:val="de-DE"/>
        </w:rPr>
        <w:t xml:space="preserve"> im Allgemeinen</w:t>
      </w:r>
      <w:r w:rsidR="006D769A">
        <w:rPr>
          <w:sz w:val="22"/>
          <w:lang w:val="de-DE"/>
        </w:rPr>
        <w:t xml:space="preserve"> sowie </w:t>
      </w:r>
      <w:r w:rsidR="00AF1D79">
        <w:rPr>
          <w:sz w:val="22"/>
          <w:lang w:val="de-DE"/>
        </w:rPr>
        <w:t>andere Parteien, die solche Straftaten begehen, verfolgt.</w:t>
      </w:r>
      <w:r w:rsidR="002F26E1">
        <w:rPr>
          <w:sz w:val="22"/>
          <w:lang w:val="de-DE"/>
        </w:rPr>
        <w:t xml:space="preserve"> </w:t>
      </w:r>
      <w:r w:rsidR="006D769A">
        <w:rPr>
          <w:sz w:val="22"/>
          <w:lang w:val="de-DE"/>
        </w:rPr>
        <w:t xml:space="preserve"> </w:t>
      </w:r>
    </w:p>
    <w:p w:rsidR="002F26E1" w:rsidRPr="002F26E1" w:rsidRDefault="002F26E1" w:rsidP="003C4107">
      <w:pPr>
        <w:pStyle w:val="CM1"/>
        <w:jc w:val="both"/>
        <w:rPr>
          <w:sz w:val="22"/>
          <w:lang w:val="de-DE"/>
        </w:rPr>
      </w:pPr>
    </w:p>
    <w:p w:rsidR="00AF1D79" w:rsidRPr="00AF1D79" w:rsidRDefault="00AF1D79" w:rsidP="003C4107">
      <w:pPr>
        <w:pStyle w:val="CM8"/>
        <w:spacing w:line="293" w:lineRule="atLeast"/>
        <w:ind w:firstLine="707"/>
        <w:jc w:val="both"/>
        <w:rPr>
          <w:sz w:val="22"/>
          <w:lang w:val="de-DE"/>
        </w:rPr>
      </w:pPr>
      <w:r w:rsidRPr="00AF1D79">
        <w:rPr>
          <w:sz w:val="22"/>
          <w:lang w:val="de-DE"/>
        </w:rPr>
        <w:t>Verfahren in erster Instanz dauern durchsch</w:t>
      </w:r>
      <w:r>
        <w:rPr>
          <w:sz w:val="22"/>
          <w:lang w:val="de-DE"/>
        </w:rPr>
        <w:t>nittlich 2 Jahre und das Urteil ergeht in ca. 3 Jahren.</w:t>
      </w:r>
    </w:p>
    <w:p w:rsidR="007A42D8" w:rsidRPr="005463CD" w:rsidRDefault="007A42D8" w:rsidP="003C4107">
      <w:pPr>
        <w:pStyle w:val="CM1"/>
        <w:jc w:val="both"/>
        <w:rPr>
          <w:b/>
          <w:bCs/>
          <w:sz w:val="22"/>
          <w:szCs w:val="22"/>
          <w:lang w:val="de-DE"/>
        </w:rPr>
      </w:pPr>
    </w:p>
    <w:p w:rsidR="00AF1D79" w:rsidRPr="009B43AC" w:rsidRDefault="002D14FE" w:rsidP="007A42D8">
      <w:pPr>
        <w:pStyle w:val="CM1"/>
        <w:jc w:val="both"/>
        <w:rPr>
          <w:sz w:val="22"/>
          <w:lang w:val="de-DE"/>
        </w:rPr>
      </w:pPr>
      <w:r w:rsidRPr="00AF1D79">
        <w:rPr>
          <w:b/>
          <w:sz w:val="22"/>
          <w:lang w:val="de-DE"/>
        </w:rPr>
        <w:t xml:space="preserve">3.- </w:t>
      </w:r>
      <w:r w:rsidR="00AF1D79" w:rsidRPr="00AF1D79">
        <w:rPr>
          <w:b/>
          <w:sz w:val="22"/>
          <w:lang w:val="de-DE"/>
        </w:rPr>
        <w:t>Konkurserklärung und Lüftung des Deckmantels der Rechtspersönlichkeit der Gesellschaft</w:t>
      </w:r>
      <w:r w:rsidRPr="00AF1D79">
        <w:rPr>
          <w:sz w:val="22"/>
          <w:lang w:val="de-DE"/>
        </w:rPr>
        <w:t xml:space="preserve">. </w:t>
      </w:r>
      <w:r w:rsidR="00AF1D79">
        <w:rPr>
          <w:sz w:val="22"/>
          <w:lang w:val="de-DE"/>
        </w:rPr>
        <w:t xml:space="preserve">Die Gesellschaft </w:t>
      </w:r>
      <w:r w:rsidR="00AF1D79" w:rsidRPr="00AF1D79">
        <w:rPr>
          <w:sz w:val="22"/>
          <w:lang w:val="de-DE"/>
        </w:rPr>
        <w:t>Cerro Gordo S.L. hat handelsrechtlich</w:t>
      </w:r>
      <w:r w:rsidR="00AF1D79">
        <w:rPr>
          <w:sz w:val="22"/>
          <w:lang w:val="de-DE"/>
        </w:rPr>
        <w:t xml:space="preserve"> einen </w:t>
      </w:r>
      <w:r w:rsidR="00AF1D79" w:rsidRPr="00AF1D79">
        <w:rPr>
          <w:sz w:val="22"/>
          <w:lang w:val="de-DE"/>
        </w:rPr>
        <w:t xml:space="preserve">Antrag auf Eröffnung des Konkursverfahrens gestellt. </w:t>
      </w:r>
      <w:r w:rsidR="009F0291">
        <w:rPr>
          <w:sz w:val="22"/>
          <w:lang w:val="de-DE"/>
        </w:rPr>
        <w:t xml:space="preserve">Es ist ratsam, bei einem Konkursverfahren persönlich zu </w:t>
      </w:r>
      <w:r w:rsidR="009F0291">
        <w:rPr>
          <w:sz w:val="22"/>
          <w:lang w:val="de-DE"/>
        </w:rPr>
        <w:lastRenderedPageBreak/>
        <w:t>erscheinen, um unvorschriftsmäßige Geschäftsvorgänge in Frage zu stellen, indem man eine „schuldhafte″ Insolvenzerklärung fordert und die Geschäftsführer verfolgt.</w:t>
      </w:r>
      <w:r w:rsidR="009B43AC">
        <w:rPr>
          <w:sz w:val="22"/>
          <w:lang w:val="de-DE"/>
        </w:rPr>
        <w:t xml:space="preserve"> Außerdem ist es ratsam, die Verfahrenstechnik der </w:t>
      </w:r>
      <w:r w:rsidR="009B43AC" w:rsidRPr="009B43AC">
        <w:rPr>
          <w:sz w:val="22"/>
          <w:lang w:val="de-DE"/>
        </w:rPr>
        <w:t>Lüftung des Deckmantels der Rechtspersönlichkeit der Gesellschaft</w:t>
      </w:r>
      <w:r w:rsidR="009B43AC">
        <w:rPr>
          <w:sz w:val="22"/>
          <w:lang w:val="de-DE"/>
        </w:rPr>
        <w:t xml:space="preserve"> anzuwenden, um die Comarex-Gruppe für die finanziellen Verpflichtungen </w:t>
      </w:r>
      <w:r w:rsidR="008C69D0">
        <w:rPr>
          <w:sz w:val="22"/>
          <w:lang w:val="de-DE"/>
        </w:rPr>
        <w:t>ihres</w:t>
      </w:r>
      <w:r w:rsidR="009B43AC">
        <w:rPr>
          <w:sz w:val="22"/>
          <w:lang w:val="de-DE"/>
        </w:rPr>
        <w:t xml:space="preserve"> Mitgliedsunternehmens </w:t>
      </w:r>
      <w:r w:rsidR="009B43AC" w:rsidRPr="009B43AC">
        <w:rPr>
          <w:sz w:val="22"/>
          <w:lang w:val="de-DE"/>
        </w:rPr>
        <w:t>Cerro Gordo S.L.</w:t>
      </w:r>
      <w:r w:rsidR="009B43AC">
        <w:rPr>
          <w:sz w:val="22"/>
          <w:lang w:val="de-DE"/>
        </w:rPr>
        <w:t xml:space="preserve"> haftbar zu machen.</w:t>
      </w:r>
    </w:p>
    <w:p w:rsidR="00AF1D79" w:rsidRDefault="00AF1D79" w:rsidP="007A42D8">
      <w:pPr>
        <w:pStyle w:val="CM1"/>
        <w:jc w:val="both"/>
        <w:rPr>
          <w:sz w:val="22"/>
          <w:lang w:val="de-DE"/>
        </w:rPr>
      </w:pPr>
    </w:p>
    <w:p w:rsidR="002D14FE" w:rsidRPr="00D43184" w:rsidRDefault="002D14FE" w:rsidP="003C4107">
      <w:pPr>
        <w:pStyle w:val="CM8"/>
        <w:spacing w:line="293" w:lineRule="atLeast"/>
        <w:jc w:val="both"/>
        <w:rPr>
          <w:sz w:val="22"/>
          <w:szCs w:val="22"/>
          <w:lang w:val="de-DE"/>
        </w:rPr>
      </w:pPr>
      <w:r w:rsidRPr="00D43184">
        <w:rPr>
          <w:b/>
          <w:sz w:val="22"/>
          <w:lang w:val="de-DE"/>
        </w:rPr>
        <w:t xml:space="preserve">4 °- </w:t>
      </w:r>
      <w:r w:rsidR="00113D62" w:rsidRPr="00D43184">
        <w:rPr>
          <w:b/>
          <w:sz w:val="22"/>
          <w:lang w:val="de-DE"/>
        </w:rPr>
        <w:t>Beschwerde an die</w:t>
      </w:r>
      <w:r w:rsidR="001A42E8">
        <w:rPr>
          <w:b/>
          <w:sz w:val="22"/>
          <w:lang w:val="de-DE"/>
        </w:rPr>
        <w:t xml:space="preserve"> </w:t>
      </w:r>
      <w:r w:rsidR="00113D62" w:rsidRPr="00D43184">
        <w:rPr>
          <w:b/>
          <w:sz w:val="22"/>
          <w:lang w:val="de-DE"/>
        </w:rPr>
        <w:t>Generalstaatsanwaltschaft</w:t>
      </w:r>
    </w:p>
    <w:p w:rsidR="007A42D8" w:rsidRPr="00D43184" w:rsidRDefault="007A42D8" w:rsidP="003C4107">
      <w:pPr>
        <w:pStyle w:val="CM8"/>
        <w:spacing w:line="293" w:lineRule="atLeast"/>
        <w:ind w:firstLine="707"/>
        <w:jc w:val="both"/>
        <w:rPr>
          <w:sz w:val="22"/>
          <w:szCs w:val="22"/>
          <w:lang w:val="de-DE"/>
        </w:rPr>
      </w:pPr>
    </w:p>
    <w:p w:rsidR="001A42E8" w:rsidRPr="00363830" w:rsidRDefault="00D43184" w:rsidP="003C4107">
      <w:pPr>
        <w:pStyle w:val="CM8"/>
        <w:spacing w:line="293" w:lineRule="atLeast"/>
        <w:ind w:firstLine="707"/>
        <w:jc w:val="both"/>
        <w:rPr>
          <w:sz w:val="22"/>
          <w:lang w:val="de-DE"/>
        </w:rPr>
      </w:pPr>
      <w:r w:rsidRPr="00D43184">
        <w:rPr>
          <w:sz w:val="22"/>
          <w:lang w:val="de-DE"/>
        </w:rPr>
        <w:t xml:space="preserve">Es existiert bereits eine </w:t>
      </w:r>
      <w:r w:rsidR="001A42E8">
        <w:rPr>
          <w:sz w:val="22"/>
          <w:lang w:val="de-DE"/>
        </w:rPr>
        <w:t xml:space="preserve">von einem Frauenverband aus </w:t>
      </w:r>
      <w:r w:rsidR="001A42E8" w:rsidRPr="00D43184">
        <w:rPr>
          <w:sz w:val="22"/>
          <w:lang w:val="de-DE"/>
        </w:rPr>
        <w:t>La Herradura - Almuñécar</w:t>
      </w:r>
      <w:r w:rsidR="001A42E8">
        <w:rPr>
          <w:sz w:val="22"/>
          <w:lang w:val="de-DE"/>
        </w:rPr>
        <w:t xml:space="preserve"> erhobene</w:t>
      </w:r>
      <w:r w:rsidR="001A42E8" w:rsidRPr="00D43184">
        <w:rPr>
          <w:sz w:val="22"/>
          <w:lang w:val="de-DE"/>
        </w:rPr>
        <w:t xml:space="preserve"> </w:t>
      </w:r>
      <w:r w:rsidRPr="00D43184">
        <w:rPr>
          <w:sz w:val="22"/>
          <w:lang w:val="de-DE"/>
        </w:rPr>
        <w:t>Beschwerde</w:t>
      </w:r>
      <w:r>
        <w:rPr>
          <w:sz w:val="22"/>
          <w:lang w:val="de-DE"/>
        </w:rPr>
        <w:t>, d</w:t>
      </w:r>
      <w:r w:rsidR="001A42E8">
        <w:rPr>
          <w:sz w:val="22"/>
          <w:lang w:val="de-DE"/>
        </w:rPr>
        <w:t>er</w:t>
      </w:r>
      <w:r>
        <w:rPr>
          <w:sz w:val="22"/>
          <w:lang w:val="de-DE"/>
        </w:rPr>
        <w:t xml:space="preserve"> </w:t>
      </w:r>
      <w:r w:rsidR="001A42E8">
        <w:rPr>
          <w:sz w:val="22"/>
          <w:lang w:val="de-DE"/>
        </w:rPr>
        <w:t>Anzeige gegen Unregelmäßigkeiten der Stadtentwicklung erhoben hat. Die Generalstaatsanwaltschaft informierte über das Vorhandensein dieser Unregelmäßigkeiten und entwarf sogar einen Beschluss</w:t>
      </w:r>
      <w:r w:rsidR="00363830">
        <w:rPr>
          <w:sz w:val="22"/>
          <w:lang w:val="de-DE"/>
        </w:rPr>
        <w:t>, der die offensichtliche Existenz von kriminellen Handlungen bestätigte, legte den Klägern aber nahe, den entsprechenden Anspruch vor Gericht zu erheben. Dieser Verband hat keinen Anspruch erhoben. Wir empfehlen, eine Beschwerde wegen offensichtlicher Unregelmäßigkeiten zu einzulegen, die sogar dazu geführt haben, dass Arbeitsgenehmigungen in den Urbanisationen Los Altos, Balcón u</w:t>
      </w:r>
      <w:r w:rsidR="00363830" w:rsidRPr="00363830">
        <w:rPr>
          <w:sz w:val="22"/>
          <w:lang w:val="de-DE"/>
        </w:rPr>
        <w:t>nd Terrazas</w:t>
      </w:r>
      <w:r w:rsidR="00363830">
        <w:rPr>
          <w:sz w:val="22"/>
          <w:lang w:val="de-DE"/>
        </w:rPr>
        <w:t xml:space="preserve"> annuliert wurden.</w:t>
      </w:r>
    </w:p>
    <w:p w:rsidR="001A42E8" w:rsidRDefault="001A42E8" w:rsidP="003C4107">
      <w:pPr>
        <w:pStyle w:val="CM8"/>
        <w:spacing w:line="293" w:lineRule="atLeast"/>
        <w:ind w:firstLine="707"/>
        <w:jc w:val="both"/>
        <w:rPr>
          <w:sz w:val="22"/>
          <w:lang w:val="de-DE"/>
        </w:rPr>
      </w:pPr>
      <w:r>
        <w:rPr>
          <w:sz w:val="22"/>
          <w:lang w:val="de-DE"/>
        </w:rPr>
        <w:t xml:space="preserve"> </w:t>
      </w:r>
    </w:p>
    <w:p w:rsidR="00363830" w:rsidRPr="00363830" w:rsidRDefault="00363830" w:rsidP="003C4107">
      <w:pPr>
        <w:pStyle w:val="CM7"/>
        <w:spacing w:line="293" w:lineRule="atLeast"/>
        <w:ind w:firstLine="707"/>
        <w:jc w:val="both"/>
        <w:rPr>
          <w:sz w:val="22"/>
          <w:lang w:val="de-DE"/>
        </w:rPr>
      </w:pPr>
      <w:r w:rsidRPr="00363830">
        <w:rPr>
          <w:sz w:val="22"/>
          <w:lang w:val="de-DE"/>
        </w:rPr>
        <w:t>Gleichfalls empfahlen wir außergerichtliche Verfahren.</w:t>
      </w:r>
    </w:p>
    <w:p w:rsidR="002D14FE" w:rsidRPr="008B00E7" w:rsidRDefault="002D14FE" w:rsidP="003C4107">
      <w:pPr>
        <w:pStyle w:val="Default"/>
        <w:jc w:val="both"/>
        <w:rPr>
          <w:color w:val="auto"/>
          <w:sz w:val="22"/>
          <w:szCs w:val="22"/>
        </w:rPr>
      </w:pPr>
    </w:p>
    <w:p w:rsidR="002D14FE" w:rsidRPr="009B75D4" w:rsidRDefault="00F35EBA" w:rsidP="003C4107">
      <w:pPr>
        <w:pStyle w:val="CM7"/>
        <w:spacing w:line="293" w:lineRule="atLeast"/>
        <w:jc w:val="both"/>
        <w:rPr>
          <w:sz w:val="22"/>
          <w:szCs w:val="22"/>
          <w:lang w:val="de-DE"/>
        </w:rPr>
      </w:pPr>
      <w:r>
        <w:rPr>
          <w:b/>
          <w:sz w:val="22"/>
          <w:lang w:val="de-DE"/>
        </w:rPr>
        <w:t>A</w:t>
      </w:r>
      <w:r w:rsidRPr="00F35EBA">
        <w:rPr>
          <w:b/>
          <w:sz w:val="22"/>
          <w:lang w:val="de-DE"/>
        </w:rPr>
        <w:t>ußergerichtliche Verfahren</w:t>
      </w:r>
      <w:r w:rsidR="002D14FE" w:rsidRPr="009B75D4">
        <w:rPr>
          <w:b/>
          <w:sz w:val="22"/>
          <w:lang w:val="de-DE"/>
        </w:rPr>
        <w:t>.-</w:t>
      </w:r>
    </w:p>
    <w:p w:rsidR="007A42D8" w:rsidRPr="009B75D4" w:rsidRDefault="007A42D8" w:rsidP="003C4107">
      <w:pPr>
        <w:pStyle w:val="CM1"/>
        <w:jc w:val="both"/>
        <w:rPr>
          <w:sz w:val="22"/>
          <w:szCs w:val="22"/>
          <w:lang w:val="de-DE"/>
        </w:rPr>
      </w:pPr>
    </w:p>
    <w:p w:rsidR="002D14FE" w:rsidRPr="009B75D4" w:rsidRDefault="009B75D4" w:rsidP="003C4107">
      <w:pPr>
        <w:pStyle w:val="CM1"/>
        <w:jc w:val="both"/>
        <w:rPr>
          <w:sz w:val="22"/>
          <w:szCs w:val="22"/>
          <w:lang w:val="de-DE"/>
        </w:rPr>
      </w:pPr>
      <w:r w:rsidRPr="009B75D4">
        <w:rPr>
          <w:sz w:val="22"/>
          <w:lang w:val="de-DE"/>
        </w:rPr>
        <w:t>Öffentliche Meinungskampagne</w:t>
      </w:r>
    </w:p>
    <w:p w:rsidR="002D14FE" w:rsidRPr="009B75D4" w:rsidRDefault="002D14FE" w:rsidP="003C4107">
      <w:pPr>
        <w:pStyle w:val="CM2"/>
        <w:ind w:left="707"/>
        <w:jc w:val="both"/>
        <w:rPr>
          <w:sz w:val="22"/>
          <w:szCs w:val="22"/>
          <w:lang w:val="de-DE"/>
        </w:rPr>
      </w:pPr>
      <w:r w:rsidRPr="009B75D4">
        <w:rPr>
          <w:sz w:val="22"/>
          <w:lang w:val="de-DE"/>
        </w:rPr>
        <w:t>Medi</w:t>
      </w:r>
      <w:r w:rsidR="009B75D4" w:rsidRPr="009B75D4">
        <w:rPr>
          <w:sz w:val="22"/>
          <w:lang w:val="de-DE"/>
        </w:rPr>
        <w:t>enkampagne</w:t>
      </w:r>
      <w:r w:rsidRPr="009B75D4">
        <w:rPr>
          <w:sz w:val="22"/>
          <w:lang w:val="de-DE"/>
        </w:rPr>
        <w:t xml:space="preserve">. </w:t>
      </w:r>
    </w:p>
    <w:p w:rsidR="002D14FE" w:rsidRPr="009B75D4" w:rsidRDefault="009B75D4" w:rsidP="003C4107">
      <w:pPr>
        <w:pStyle w:val="CM3"/>
        <w:ind w:firstLine="707"/>
        <w:jc w:val="both"/>
        <w:rPr>
          <w:sz w:val="22"/>
          <w:szCs w:val="22"/>
          <w:lang w:val="de-DE"/>
        </w:rPr>
      </w:pPr>
      <w:r w:rsidRPr="009B75D4">
        <w:rPr>
          <w:sz w:val="22"/>
          <w:lang w:val="de-DE"/>
        </w:rPr>
        <w:t>Öffentliche Demonstrationen</w:t>
      </w:r>
      <w:r w:rsidR="002D14FE" w:rsidRPr="009B75D4">
        <w:rPr>
          <w:sz w:val="22"/>
          <w:lang w:val="de-DE"/>
        </w:rPr>
        <w:t xml:space="preserve">. </w:t>
      </w:r>
    </w:p>
    <w:p w:rsidR="007A42D8" w:rsidRPr="009B75D4" w:rsidRDefault="002D14FE" w:rsidP="003C4107">
      <w:pPr>
        <w:pStyle w:val="CM7"/>
        <w:spacing w:line="293" w:lineRule="atLeast"/>
        <w:ind w:firstLine="707"/>
        <w:jc w:val="both"/>
        <w:rPr>
          <w:sz w:val="22"/>
          <w:szCs w:val="22"/>
          <w:lang w:val="de-DE"/>
        </w:rPr>
      </w:pPr>
      <w:r w:rsidRPr="009B75D4">
        <w:rPr>
          <w:sz w:val="22"/>
          <w:lang w:val="de-DE"/>
        </w:rPr>
        <w:t>Protest</w:t>
      </w:r>
      <w:r w:rsidR="009B75D4" w:rsidRPr="009B75D4">
        <w:rPr>
          <w:sz w:val="22"/>
          <w:lang w:val="de-DE"/>
        </w:rPr>
        <w:t>e</w:t>
      </w:r>
      <w:r w:rsidRPr="009B75D4">
        <w:rPr>
          <w:sz w:val="22"/>
          <w:lang w:val="de-DE"/>
        </w:rPr>
        <w:t xml:space="preserve"> </w:t>
      </w:r>
    </w:p>
    <w:p w:rsidR="009B75D4" w:rsidRPr="009B75D4" w:rsidRDefault="009B75D4" w:rsidP="007A42D8">
      <w:pPr>
        <w:pStyle w:val="CM7"/>
        <w:spacing w:line="293" w:lineRule="atLeast"/>
        <w:jc w:val="both"/>
        <w:rPr>
          <w:sz w:val="22"/>
          <w:lang w:val="de-DE"/>
        </w:rPr>
      </w:pPr>
      <w:r w:rsidRPr="009B75D4">
        <w:rPr>
          <w:sz w:val="22"/>
          <w:lang w:val="de-DE"/>
        </w:rPr>
        <w:t>Politische Interventionen auf lokaler, regionaler und nationaler Ebene</w:t>
      </w:r>
    </w:p>
    <w:p w:rsidR="007A42D8" w:rsidRDefault="007A42D8" w:rsidP="003C4107">
      <w:pPr>
        <w:pStyle w:val="CM7"/>
        <w:spacing w:line="293" w:lineRule="atLeast"/>
        <w:jc w:val="both"/>
        <w:rPr>
          <w:sz w:val="22"/>
          <w:szCs w:val="22"/>
        </w:rPr>
      </w:pPr>
    </w:p>
    <w:p w:rsidR="009B75D4" w:rsidRPr="009D52EA" w:rsidRDefault="009B75D4" w:rsidP="009B75D4">
      <w:pPr>
        <w:pStyle w:val="Default"/>
        <w:rPr>
          <w:sz w:val="22"/>
          <w:szCs w:val="22"/>
          <w:lang w:val="de-DE"/>
        </w:rPr>
      </w:pPr>
      <w:r w:rsidRPr="009D52EA">
        <w:rPr>
          <w:sz w:val="22"/>
          <w:szCs w:val="22"/>
          <w:lang w:val="de-DE"/>
        </w:rPr>
        <w:t xml:space="preserve">Antrag auf </w:t>
      </w:r>
      <w:r w:rsidR="009D52EA" w:rsidRPr="009D52EA">
        <w:rPr>
          <w:sz w:val="22"/>
          <w:szCs w:val="22"/>
          <w:lang w:val="de-DE"/>
        </w:rPr>
        <w:t xml:space="preserve">Erklärung als </w:t>
      </w:r>
      <w:r w:rsidRPr="009D52EA">
        <w:rPr>
          <w:sz w:val="22"/>
          <w:szCs w:val="22"/>
          <w:lang w:val="de-DE"/>
        </w:rPr>
        <w:t>Ausnahmezustandsgebiet</w:t>
      </w:r>
    </w:p>
    <w:p w:rsidR="007A42D8" w:rsidRPr="009D52EA" w:rsidRDefault="007A42D8" w:rsidP="003C4107">
      <w:pPr>
        <w:pStyle w:val="CM7"/>
        <w:spacing w:line="293" w:lineRule="atLeast"/>
        <w:jc w:val="both"/>
        <w:rPr>
          <w:sz w:val="22"/>
          <w:szCs w:val="22"/>
          <w:lang w:val="de-DE"/>
        </w:rPr>
      </w:pPr>
    </w:p>
    <w:p w:rsidR="009B75D4" w:rsidRPr="009B75D4" w:rsidRDefault="009B75D4" w:rsidP="003C4107">
      <w:pPr>
        <w:pStyle w:val="CM7"/>
        <w:spacing w:line="293" w:lineRule="atLeast"/>
        <w:jc w:val="both"/>
        <w:rPr>
          <w:sz w:val="22"/>
          <w:lang w:val="de-DE"/>
        </w:rPr>
      </w:pPr>
      <w:r w:rsidRPr="009B75D4">
        <w:rPr>
          <w:sz w:val="22"/>
          <w:lang w:val="de-DE"/>
        </w:rPr>
        <w:t>Intervention der regionalen</w:t>
      </w:r>
      <w:r w:rsidR="009D52EA">
        <w:rPr>
          <w:sz w:val="22"/>
          <w:lang w:val="de-DE"/>
        </w:rPr>
        <w:t xml:space="preserve"> Regierung</w:t>
      </w:r>
      <w:r w:rsidRPr="009B75D4">
        <w:rPr>
          <w:sz w:val="22"/>
          <w:lang w:val="de-DE"/>
        </w:rPr>
        <w:t xml:space="preserve"> und </w:t>
      </w:r>
      <w:r w:rsidR="009D52EA">
        <w:rPr>
          <w:sz w:val="22"/>
          <w:lang w:val="de-DE"/>
        </w:rPr>
        <w:t>Landesregier</w:t>
      </w:r>
      <w:r w:rsidRPr="009B75D4">
        <w:rPr>
          <w:sz w:val="22"/>
          <w:lang w:val="de-DE"/>
        </w:rPr>
        <w:t>ung</w:t>
      </w:r>
      <w:r w:rsidR="009D52EA">
        <w:rPr>
          <w:rStyle w:val="FootnoteReference"/>
          <w:sz w:val="22"/>
          <w:lang w:val="de-DE"/>
        </w:rPr>
        <w:footnoteReference w:id="1"/>
      </w:r>
      <w:r w:rsidRPr="009B75D4">
        <w:rPr>
          <w:sz w:val="22"/>
          <w:lang w:val="de-DE"/>
        </w:rPr>
        <w:t>.</w:t>
      </w:r>
    </w:p>
    <w:p w:rsidR="009B75D4" w:rsidRPr="009B75D4" w:rsidRDefault="009B75D4" w:rsidP="003C4107">
      <w:pPr>
        <w:pStyle w:val="CM7"/>
        <w:spacing w:line="293" w:lineRule="atLeast"/>
        <w:jc w:val="both"/>
        <w:rPr>
          <w:sz w:val="22"/>
          <w:lang w:val="de-DE"/>
        </w:rPr>
      </w:pPr>
    </w:p>
    <w:p w:rsidR="007A42D8" w:rsidRPr="009B75D4" w:rsidRDefault="009B75D4" w:rsidP="003C4107">
      <w:pPr>
        <w:pStyle w:val="CM7"/>
        <w:spacing w:line="293" w:lineRule="atLeast"/>
        <w:jc w:val="both"/>
        <w:rPr>
          <w:sz w:val="22"/>
          <w:szCs w:val="22"/>
          <w:lang w:val="de-DE"/>
        </w:rPr>
      </w:pPr>
      <w:r w:rsidRPr="009B75D4">
        <w:rPr>
          <w:sz w:val="22"/>
          <w:szCs w:val="22"/>
          <w:lang w:val="de-DE"/>
        </w:rPr>
        <w:t>Ziviler Ungehorsam und Antrag auf Freistellung von der IBI-Grundsteuer</w:t>
      </w:r>
    </w:p>
    <w:p w:rsidR="007A42D8" w:rsidRPr="008B00E7" w:rsidRDefault="007A42D8" w:rsidP="003C4107">
      <w:pPr>
        <w:pStyle w:val="CM7"/>
        <w:spacing w:line="293" w:lineRule="atLeast"/>
        <w:jc w:val="both"/>
        <w:rPr>
          <w:sz w:val="22"/>
          <w:szCs w:val="22"/>
        </w:rPr>
      </w:pPr>
    </w:p>
    <w:p w:rsidR="009B75D4" w:rsidRPr="009B75D4" w:rsidRDefault="009B75D4" w:rsidP="007A42D8">
      <w:pPr>
        <w:pStyle w:val="CM7"/>
        <w:spacing w:line="293" w:lineRule="atLeast"/>
        <w:jc w:val="both"/>
        <w:rPr>
          <w:sz w:val="22"/>
          <w:lang w:val="de-DE"/>
        </w:rPr>
      </w:pPr>
      <w:r w:rsidRPr="009B75D4">
        <w:rPr>
          <w:sz w:val="22"/>
          <w:lang w:val="de-DE"/>
        </w:rPr>
        <w:t>Klage vor dem Präsidium des Europäischen Parlamentes.</w:t>
      </w:r>
    </w:p>
    <w:p w:rsidR="007A42D8" w:rsidRDefault="007A42D8" w:rsidP="007A42D8">
      <w:pPr>
        <w:pStyle w:val="CM7"/>
        <w:spacing w:line="293" w:lineRule="atLeast"/>
        <w:jc w:val="both"/>
        <w:rPr>
          <w:sz w:val="22"/>
          <w:szCs w:val="22"/>
        </w:rPr>
      </w:pPr>
    </w:p>
    <w:p w:rsidR="009B75D4" w:rsidRPr="009B75D4" w:rsidRDefault="009B75D4" w:rsidP="009B75D4">
      <w:pPr>
        <w:pStyle w:val="Default"/>
        <w:rPr>
          <w:sz w:val="22"/>
          <w:szCs w:val="22"/>
          <w:lang w:val="de-DE"/>
        </w:rPr>
      </w:pPr>
      <w:r w:rsidRPr="009B75D4">
        <w:rPr>
          <w:sz w:val="22"/>
          <w:szCs w:val="22"/>
          <w:lang w:val="de-DE"/>
        </w:rPr>
        <w:t xml:space="preserve">Beschwerde bei den Botschaften der </w:t>
      </w:r>
      <w:r w:rsidR="009D52EA" w:rsidRPr="009B75D4">
        <w:rPr>
          <w:sz w:val="22"/>
          <w:szCs w:val="22"/>
          <w:lang w:val="de-DE"/>
        </w:rPr>
        <w:t>Eigentümer</w:t>
      </w:r>
      <w:r w:rsidR="009D52EA">
        <w:rPr>
          <w:sz w:val="22"/>
          <w:szCs w:val="22"/>
          <w:lang w:val="de-DE"/>
        </w:rPr>
        <w:t>-</w:t>
      </w:r>
      <w:r w:rsidRPr="009B75D4">
        <w:rPr>
          <w:sz w:val="22"/>
          <w:szCs w:val="22"/>
          <w:lang w:val="de-DE"/>
        </w:rPr>
        <w:t xml:space="preserve">Länder </w:t>
      </w:r>
    </w:p>
    <w:p w:rsidR="007A42D8" w:rsidRPr="009D52EA" w:rsidRDefault="007A42D8" w:rsidP="003C4107">
      <w:pPr>
        <w:pStyle w:val="CM7"/>
        <w:jc w:val="both"/>
        <w:rPr>
          <w:sz w:val="22"/>
          <w:szCs w:val="22"/>
          <w:lang w:val="de-DE"/>
        </w:rPr>
      </w:pPr>
    </w:p>
    <w:p w:rsidR="009B75D4" w:rsidRPr="009B75D4" w:rsidRDefault="009B75D4" w:rsidP="003C4107">
      <w:pPr>
        <w:pStyle w:val="CM7"/>
        <w:jc w:val="both"/>
        <w:rPr>
          <w:sz w:val="22"/>
          <w:lang w:val="de-DE"/>
        </w:rPr>
      </w:pPr>
      <w:r w:rsidRPr="009B75D4">
        <w:rPr>
          <w:sz w:val="22"/>
          <w:lang w:val="de-DE"/>
        </w:rPr>
        <w:t xml:space="preserve">Einrichtung einer gemeinsamen </w:t>
      </w:r>
      <w:r w:rsidR="009D52EA">
        <w:rPr>
          <w:sz w:val="22"/>
          <w:lang w:val="de-DE"/>
        </w:rPr>
        <w:t>Anwohner</w:t>
      </w:r>
      <w:r w:rsidRPr="009B75D4">
        <w:rPr>
          <w:sz w:val="22"/>
          <w:lang w:val="de-DE"/>
        </w:rPr>
        <w:t>vereinigung ["</w:t>
      </w:r>
      <w:r w:rsidRPr="009B75D4">
        <w:rPr>
          <w:i/>
          <w:sz w:val="22"/>
          <w:lang w:val="de-DE"/>
        </w:rPr>
        <w:t>Mancomunidad de Vecinos</w:t>
      </w:r>
      <w:r w:rsidRPr="009B75D4">
        <w:rPr>
          <w:sz w:val="22"/>
          <w:lang w:val="de-DE"/>
        </w:rPr>
        <w:t>"] zur Erleichterung gemeinsame</w:t>
      </w:r>
      <w:r>
        <w:rPr>
          <w:sz w:val="22"/>
          <w:lang w:val="de-DE"/>
        </w:rPr>
        <w:t>r</w:t>
      </w:r>
      <w:r w:rsidRPr="009B75D4">
        <w:rPr>
          <w:sz w:val="22"/>
          <w:lang w:val="de-DE"/>
        </w:rPr>
        <w:t xml:space="preserve"> Vorgehensweisen.</w:t>
      </w:r>
    </w:p>
    <w:p w:rsidR="002D14FE" w:rsidRPr="009D52EA" w:rsidRDefault="002D14FE" w:rsidP="003C4107">
      <w:pPr>
        <w:pStyle w:val="CM7"/>
        <w:jc w:val="both"/>
        <w:rPr>
          <w:sz w:val="22"/>
          <w:szCs w:val="22"/>
          <w:lang w:val="de-DE"/>
        </w:rPr>
      </w:pPr>
    </w:p>
    <w:p w:rsidR="007A42D8" w:rsidRPr="009B75D4" w:rsidRDefault="009B75D4" w:rsidP="003C4107">
      <w:pPr>
        <w:pStyle w:val="CM7"/>
        <w:jc w:val="both"/>
        <w:rPr>
          <w:sz w:val="22"/>
          <w:szCs w:val="22"/>
          <w:lang w:val="de-DE"/>
        </w:rPr>
      </w:pPr>
      <w:r w:rsidRPr="009B75D4">
        <w:rPr>
          <w:sz w:val="22"/>
          <w:szCs w:val="22"/>
          <w:lang w:val="de-DE"/>
        </w:rPr>
        <w:t>Beschwerde beim Bürgerbeauftragten</w:t>
      </w:r>
      <w:r>
        <w:rPr>
          <w:sz w:val="22"/>
          <w:szCs w:val="22"/>
          <w:lang w:val="de-DE"/>
        </w:rPr>
        <w:t>.</w:t>
      </w:r>
    </w:p>
    <w:p w:rsidR="009B75D4" w:rsidRPr="009B75D4" w:rsidRDefault="009B75D4" w:rsidP="003C4107">
      <w:pPr>
        <w:pStyle w:val="CM7"/>
        <w:jc w:val="both"/>
        <w:rPr>
          <w:sz w:val="22"/>
          <w:lang w:val="de-DE"/>
        </w:rPr>
      </w:pPr>
    </w:p>
    <w:p w:rsidR="007A42D8" w:rsidRPr="009B75D4" w:rsidRDefault="009B75D4" w:rsidP="003C4107">
      <w:pPr>
        <w:pStyle w:val="CM4"/>
        <w:jc w:val="both"/>
        <w:rPr>
          <w:sz w:val="22"/>
          <w:szCs w:val="22"/>
          <w:lang w:val="de-DE"/>
        </w:rPr>
      </w:pPr>
      <w:r>
        <w:rPr>
          <w:sz w:val="22"/>
          <w:szCs w:val="22"/>
          <w:lang w:val="de-DE"/>
        </w:rPr>
        <w:t xml:space="preserve">Entwurf eines </w:t>
      </w:r>
      <w:r w:rsidR="002B190B">
        <w:rPr>
          <w:sz w:val="22"/>
          <w:szCs w:val="22"/>
          <w:lang w:val="de-DE"/>
        </w:rPr>
        <w:t>Instandsetzungsprojektes seitens der Verwaltung</w:t>
      </w:r>
    </w:p>
    <w:p w:rsidR="002D14FE" w:rsidRPr="008B00E7" w:rsidRDefault="002D14FE" w:rsidP="003C4107">
      <w:pPr>
        <w:pStyle w:val="Default"/>
        <w:jc w:val="both"/>
        <w:rPr>
          <w:color w:val="auto"/>
          <w:sz w:val="22"/>
          <w:szCs w:val="22"/>
        </w:rPr>
      </w:pPr>
    </w:p>
    <w:p w:rsidR="002D14FE" w:rsidRPr="002B190B" w:rsidRDefault="002B190B" w:rsidP="003C4107">
      <w:pPr>
        <w:pStyle w:val="CM7"/>
        <w:jc w:val="both"/>
        <w:rPr>
          <w:sz w:val="22"/>
          <w:szCs w:val="22"/>
          <w:lang w:val="de-DE"/>
        </w:rPr>
      </w:pPr>
      <w:r w:rsidRPr="002B190B">
        <w:rPr>
          <w:b/>
          <w:sz w:val="22"/>
          <w:lang w:val="de-DE"/>
        </w:rPr>
        <w:t>FRAGEN VON TEILNEHMENDEN NACHBARN</w:t>
      </w:r>
    </w:p>
    <w:p w:rsidR="007A42D8" w:rsidRPr="002B190B" w:rsidRDefault="007A42D8" w:rsidP="003C4107">
      <w:pPr>
        <w:pStyle w:val="CM4"/>
        <w:jc w:val="both"/>
        <w:rPr>
          <w:sz w:val="22"/>
          <w:szCs w:val="22"/>
          <w:lang w:val="de-DE"/>
        </w:rPr>
      </w:pPr>
    </w:p>
    <w:p w:rsidR="002B190B" w:rsidRPr="002B190B" w:rsidRDefault="002D14FE" w:rsidP="003C4107">
      <w:pPr>
        <w:pStyle w:val="CM4"/>
        <w:jc w:val="both"/>
        <w:rPr>
          <w:sz w:val="22"/>
          <w:lang w:val="de-DE"/>
        </w:rPr>
      </w:pPr>
      <w:r w:rsidRPr="002B190B">
        <w:rPr>
          <w:sz w:val="22"/>
          <w:lang w:val="de-DE"/>
        </w:rPr>
        <w:t>1.-</w:t>
      </w:r>
      <w:r w:rsidR="002B190B" w:rsidRPr="002B190B">
        <w:rPr>
          <w:sz w:val="22"/>
          <w:lang w:val="de-DE"/>
        </w:rPr>
        <w:t xml:space="preserve"> Vorschlag, die IBI-</w:t>
      </w:r>
      <w:r w:rsidR="002B190B">
        <w:rPr>
          <w:sz w:val="22"/>
          <w:lang w:val="de-DE"/>
        </w:rPr>
        <w:t xml:space="preserve">Grundsteuer als Protest gegen die Maßnahme von </w:t>
      </w:r>
      <w:r w:rsidR="002B190B" w:rsidRPr="002B190B">
        <w:rPr>
          <w:i/>
          <w:sz w:val="22"/>
          <w:lang w:val="de-DE"/>
        </w:rPr>
        <w:t>Ayuntamiento</w:t>
      </w:r>
      <w:r w:rsidR="002B190B">
        <w:rPr>
          <w:i/>
          <w:sz w:val="22"/>
          <w:lang w:val="de-DE"/>
        </w:rPr>
        <w:t xml:space="preserve"> </w:t>
      </w:r>
      <w:r w:rsidR="002B190B">
        <w:rPr>
          <w:sz w:val="22"/>
          <w:lang w:val="de-DE"/>
        </w:rPr>
        <w:t>nicht zu bezahlen.</w:t>
      </w:r>
    </w:p>
    <w:p w:rsidR="002B190B" w:rsidRPr="002B190B" w:rsidRDefault="002B190B" w:rsidP="003C4107">
      <w:pPr>
        <w:pStyle w:val="CM7"/>
        <w:spacing w:line="291" w:lineRule="atLeast"/>
        <w:ind w:firstLine="707"/>
        <w:jc w:val="both"/>
        <w:rPr>
          <w:sz w:val="22"/>
          <w:lang w:val="de-DE"/>
        </w:rPr>
      </w:pPr>
      <w:r w:rsidRPr="002B190B">
        <w:rPr>
          <w:sz w:val="22"/>
          <w:lang w:val="de-DE"/>
        </w:rPr>
        <w:t>Die Steuer auf Unbewegliches Privatvermögen</w:t>
      </w:r>
      <w:r w:rsidR="002D14FE" w:rsidRPr="002B190B">
        <w:rPr>
          <w:sz w:val="22"/>
          <w:lang w:val="de-DE"/>
        </w:rPr>
        <w:t xml:space="preserve"> [IBI - </w:t>
      </w:r>
      <w:r w:rsidR="002D14FE" w:rsidRPr="002B190B">
        <w:rPr>
          <w:i/>
          <w:sz w:val="22"/>
          <w:lang w:val="de-DE"/>
        </w:rPr>
        <w:t>Impuesto sobre Bienes Inmuebles</w:t>
      </w:r>
      <w:r w:rsidR="002D14FE" w:rsidRPr="002B190B">
        <w:rPr>
          <w:sz w:val="22"/>
          <w:lang w:val="de-DE"/>
        </w:rPr>
        <w:t xml:space="preserve">] </w:t>
      </w:r>
      <w:r>
        <w:rPr>
          <w:sz w:val="22"/>
          <w:lang w:val="de-DE"/>
        </w:rPr>
        <w:t xml:space="preserve">wird von der Regierung der Provinz verwaltet und erhoben. Wenn sie nicht bezahlt wird, würde es sich </w:t>
      </w:r>
      <w:r w:rsidR="009D52EA">
        <w:rPr>
          <w:sz w:val="22"/>
          <w:lang w:val="de-DE"/>
        </w:rPr>
        <w:t>zwar</w:t>
      </w:r>
      <w:r>
        <w:rPr>
          <w:sz w:val="22"/>
          <w:lang w:val="de-DE"/>
        </w:rPr>
        <w:t xml:space="preserve"> nicht direkt auf die </w:t>
      </w:r>
      <w:r w:rsidRPr="002B190B">
        <w:rPr>
          <w:i/>
          <w:sz w:val="22"/>
          <w:lang w:val="de-DE"/>
        </w:rPr>
        <w:t>Ayuntamiento</w:t>
      </w:r>
      <w:r>
        <w:rPr>
          <w:sz w:val="22"/>
          <w:lang w:val="de-DE"/>
        </w:rPr>
        <w:t xml:space="preserve"> auswirken, die Provinzregierung würde </w:t>
      </w:r>
      <w:r w:rsidR="009D52EA">
        <w:rPr>
          <w:sz w:val="22"/>
          <w:lang w:val="de-DE"/>
        </w:rPr>
        <w:t xml:space="preserve">aber </w:t>
      </w:r>
      <w:r>
        <w:rPr>
          <w:sz w:val="22"/>
          <w:lang w:val="de-DE"/>
        </w:rPr>
        <w:t>reagieren, indem sie die unbezahlten Rechnungen erzwingt. Damit diese Maßnahme Erfolg hat, muss jeder Nachbar einzeln die Freistellung von der IBI schriftlich beantragen.</w:t>
      </w:r>
    </w:p>
    <w:p w:rsidR="002B190B" w:rsidRDefault="002B190B" w:rsidP="003C4107">
      <w:pPr>
        <w:pStyle w:val="CM7"/>
        <w:spacing w:line="291" w:lineRule="atLeast"/>
        <w:ind w:firstLine="707"/>
        <w:jc w:val="both"/>
        <w:rPr>
          <w:sz w:val="22"/>
          <w:lang w:val="de-DE"/>
        </w:rPr>
      </w:pPr>
    </w:p>
    <w:p w:rsidR="002B190B" w:rsidRPr="00365018" w:rsidRDefault="002D14FE" w:rsidP="003C4107">
      <w:pPr>
        <w:pStyle w:val="CM6"/>
        <w:jc w:val="both"/>
        <w:rPr>
          <w:sz w:val="22"/>
          <w:lang w:val="de-DE"/>
        </w:rPr>
      </w:pPr>
      <w:r w:rsidRPr="00365018">
        <w:rPr>
          <w:sz w:val="22"/>
          <w:lang w:val="de-DE"/>
        </w:rPr>
        <w:t xml:space="preserve">2.- </w:t>
      </w:r>
      <w:r w:rsidR="00365018">
        <w:rPr>
          <w:sz w:val="22"/>
          <w:lang w:val="de-DE"/>
        </w:rPr>
        <w:t xml:space="preserve">Zur Lösung dieses Problems </w:t>
      </w:r>
      <w:r w:rsidR="00365018" w:rsidRPr="00365018">
        <w:rPr>
          <w:sz w:val="22"/>
          <w:lang w:val="de-DE"/>
        </w:rPr>
        <w:t xml:space="preserve">ist </w:t>
      </w:r>
      <w:r w:rsidR="00365018">
        <w:rPr>
          <w:sz w:val="22"/>
          <w:lang w:val="de-DE"/>
        </w:rPr>
        <w:t>e</w:t>
      </w:r>
      <w:r w:rsidR="00365018" w:rsidRPr="00365018">
        <w:rPr>
          <w:sz w:val="22"/>
          <w:lang w:val="de-DE"/>
        </w:rPr>
        <w:t xml:space="preserve">s notwendig, die beteiligten Personen und die angewandten </w:t>
      </w:r>
      <w:r w:rsidR="00365018" w:rsidRPr="00365018">
        <w:rPr>
          <w:sz w:val="22"/>
          <w:lang w:val="de-DE"/>
        </w:rPr>
        <w:lastRenderedPageBreak/>
        <w:t>Kriterien zu ändern.</w:t>
      </w:r>
      <w:r w:rsidR="00365018">
        <w:rPr>
          <w:sz w:val="22"/>
          <w:lang w:val="de-DE"/>
        </w:rPr>
        <w:t xml:space="preserve"> Eine Verhandlungslösung ist notwendig; wir bekommen nach Abschluss des Verfahrens nichts.</w:t>
      </w:r>
    </w:p>
    <w:p w:rsidR="002B190B" w:rsidRPr="00365018" w:rsidRDefault="006535D0" w:rsidP="003C4107">
      <w:pPr>
        <w:pStyle w:val="CM6"/>
        <w:jc w:val="both"/>
        <w:rPr>
          <w:sz w:val="22"/>
          <w:lang w:val="de-DE"/>
        </w:rPr>
      </w:pPr>
      <w:r>
        <w:rPr>
          <w:sz w:val="22"/>
          <w:lang w:val="de-DE"/>
        </w:rPr>
        <w:t>Beratungen fanden</w:t>
      </w:r>
      <w:r w:rsidR="0048676F">
        <w:rPr>
          <w:sz w:val="22"/>
          <w:lang w:val="de-DE"/>
        </w:rPr>
        <w:t xml:space="preserve"> vom ersten Tag an unaufhörlich </w:t>
      </w:r>
      <w:r>
        <w:rPr>
          <w:sz w:val="22"/>
          <w:lang w:val="de-DE"/>
        </w:rPr>
        <w:t>statt</w:t>
      </w:r>
      <w:r w:rsidR="0048676F">
        <w:rPr>
          <w:sz w:val="22"/>
          <w:lang w:val="de-DE"/>
        </w:rPr>
        <w:t xml:space="preserve">, sowohl mit der Verwaltung als auch mit den Angeklagten, die Ergebnisse waren </w:t>
      </w:r>
      <w:r>
        <w:rPr>
          <w:sz w:val="22"/>
          <w:lang w:val="de-DE"/>
        </w:rPr>
        <w:t xml:space="preserve">jedoch </w:t>
      </w:r>
      <w:r w:rsidR="0048676F">
        <w:rPr>
          <w:sz w:val="22"/>
          <w:lang w:val="de-DE"/>
        </w:rPr>
        <w:t>nicht zufriedenstellend und die angebotenen Lösungen völlig unzureichend und unakzeptabel. Die Angeklagten haben 2 Millionen Euro unter der Bedingung angeboten, dass auf den Anspruch verzichtet wird</w:t>
      </w:r>
      <w:r>
        <w:rPr>
          <w:sz w:val="22"/>
          <w:lang w:val="de-DE"/>
        </w:rPr>
        <w:t>. D</w:t>
      </w:r>
      <w:r w:rsidR="0048676F">
        <w:rPr>
          <w:sz w:val="22"/>
          <w:lang w:val="de-DE"/>
        </w:rPr>
        <w:t>ieses Angebot wurde abgelehnt. Nach Auffassung von Herrn Hilario scheint es möglich zu sein, dass die Beratungen nach einem Schuldspruch-Urteil fortgesetzt werden. Es sollte durch die öffentliche Meinung (Medien, Botschaften, Beschwerden usw.) und politisch auf die Verwaltung Druck ausgeübt werden.</w:t>
      </w:r>
    </w:p>
    <w:p w:rsidR="007A42D8" w:rsidRPr="008B00E7" w:rsidRDefault="007A42D8" w:rsidP="003C4107">
      <w:pPr>
        <w:pStyle w:val="CM8"/>
        <w:spacing w:line="293" w:lineRule="atLeast"/>
        <w:jc w:val="both"/>
        <w:rPr>
          <w:sz w:val="22"/>
          <w:szCs w:val="22"/>
        </w:rPr>
      </w:pPr>
    </w:p>
    <w:p w:rsidR="00BA1378" w:rsidRPr="00BA1378" w:rsidRDefault="002D14FE" w:rsidP="003C4107">
      <w:pPr>
        <w:pStyle w:val="CM8"/>
        <w:spacing w:line="293" w:lineRule="atLeast"/>
        <w:jc w:val="both"/>
        <w:rPr>
          <w:sz w:val="22"/>
          <w:lang w:val="de-DE"/>
        </w:rPr>
      </w:pPr>
      <w:r w:rsidRPr="00BA1378">
        <w:rPr>
          <w:sz w:val="22"/>
          <w:lang w:val="de-DE"/>
        </w:rPr>
        <w:t xml:space="preserve">3.- </w:t>
      </w:r>
      <w:r w:rsidR="00BA1378" w:rsidRPr="00BA1378">
        <w:rPr>
          <w:sz w:val="22"/>
          <w:lang w:val="de-DE"/>
        </w:rPr>
        <w:t>Ein Brief eines Einwohners der Balcón</w:t>
      </w:r>
      <w:r w:rsidR="00BA1378">
        <w:rPr>
          <w:sz w:val="22"/>
          <w:lang w:val="de-DE"/>
        </w:rPr>
        <w:t>-U</w:t>
      </w:r>
      <w:r w:rsidR="00BA1378" w:rsidRPr="00BA1378">
        <w:rPr>
          <w:sz w:val="22"/>
          <w:lang w:val="de-DE"/>
        </w:rPr>
        <w:t>rbanisation</w:t>
      </w:r>
      <w:r w:rsidR="00BA1378">
        <w:rPr>
          <w:sz w:val="22"/>
          <w:lang w:val="de-DE"/>
        </w:rPr>
        <w:t xml:space="preserve"> wird vorgelesen.</w:t>
      </w:r>
    </w:p>
    <w:p w:rsidR="006535D0" w:rsidRDefault="006535D0" w:rsidP="003C4107">
      <w:pPr>
        <w:pStyle w:val="CM8"/>
        <w:spacing w:line="291" w:lineRule="atLeast"/>
        <w:ind w:firstLine="707"/>
        <w:jc w:val="both"/>
        <w:rPr>
          <w:sz w:val="22"/>
          <w:lang w:val="de-DE"/>
        </w:rPr>
      </w:pPr>
    </w:p>
    <w:p w:rsidR="00BA1378" w:rsidRPr="00BA1378" w:rsidRDefault="00BA1378" w:rsidP="003C4107">
      <w:pPr>
        <w:pStyle w:val="CM8"/>
        <w:spacing w:line="291" w:lineRule="atLeast"/>
        <w:ind w:firstLine="707"/>
        <w:jc w:val="both"/>
        <w:rPr>
          <w:sz w:val="22"/>
          <w:lang w:val="de-DE"/>
        </w:rPr>
      </w:pPr>
      <w:r w:rsidRPr="00BA1378">
        <w:rPr>
          <w:sz w:val="22"/>
          <w:lang w:val="de-DE"/>
        </w:rPr>
        <w:t>Wieviel Geld sind die Hauseigent</w:t>
      </w:r>
      <w:r>
        <w:rPr>
          <w:sz w:val="22"/>
          <w:lang w:val="de-DE"/>
        </w:rPr>
        <w:t xml:space="preserve">ümer bereit, für die Verfolgung einer </w:t>
      </w:r>
      <w:r w:rsidRPr="00BA1378">
        <w:rPr>
          <w:sz w:val="22"/>
          <w:lang w:val="de-DE"/>
        </w:rPr>
        <w:t xml:space="preserve">Lösung zu bezahlen, die </w:t>
      </w:r>
      <w:r>
        <w:rPr>
          <w:sz w:val="22"/>
          <w:lang w:val="de-DE"/>
        </w:rPr>
        <w:t>nicht durchführbar</w:t>
      </w:r>
      <w:r w:rsidR="006535D0">
        <w:rPr>
          <w:sz w:val="22"/>
          <w:lang w:val="de-DE"/>
        </w:rPr>
        <w:t xml:space="preserve"> zu sein</w:t>
      </w:r>
      <w:r>
        <w:rPr>
          <w:sz w:val="22"/>
          <w:lang w:val="de-DE"/>
        </w:rPr>
        <w:t xml:space="preserve"> scheint?</w:t>
      </w:r>
    </w:p>
    <w:p w:rsidR="007A42D8" w:rsidRPr="006535D0" w:rsidRDefault="007A42D8" w:rsidP="003C4107">
      <w:pPr>
        <w:pStyle w:val="CM8"/>
        <w:spacing w:line="291" w:lineRule="atLeast"/>
        <w:ind w:firstLine="707"/>
        <w:jc w:val="both"/>
        <w:rPr>
          <w:sz w:val="22"/>
          <w:szCs w:val="22"/>
          <w:lang w:val="de-DE"/>
        </w:rPr>
      </w:pPr>
    </w:p>
    <w:p w:rsidR="001054CC" w:rsidRPr="00695D72" w:rsidRDefault="003C4107" w:rsidP="007A42D8">
      <w:pPr>
        <w:pStyle w:val="CM8"/>
        <w:spacing w:line="291" w:lineRule="atLeast"/>
        <w:ind w:firstLine="707"/>
        <w:jc w:val="both"/>
        <w:rPr>
          <w:sz w:val="22"/>
          <w:lang w:val="de-DE"/>
        </w:rPr>
      </w:pPr>
      <w:r w:rsidRPr="00695D72">
        <w:rPr>
          <w:sz w:val="22"/>
          <w:lang w:val="de-DE"/>
        </w:rPr>
        <w:t>An</w:t>
      </w:r>
      <w:r w:rsidR="00BA1378" w:rsidRPr="00695D72">
        <w:rPr>
          <w:sz w:val="22"/>
          <w:lang w:val="de-DE"/>
        </w:rPr>
        <w:t>twort</w:t>
      </w:r>
      <w:r w:rsidRPr="00695D72">
        <w:rPr>
          <w:sz w:val="22"/>
          <w:lang w:val="de-DE"/>
        </w:rPr>
        <w:t xml:space="preserve">: </w:t>
      </w:r>
      <w:r w:rsidR="00695D72" w:rsidRPr="00695D72">
        <w:rPr>
          <w:sz w:val="22"/>
          <w:lang w:val="de-DE"/>
        </w:rPr>
        <w:t xml:space="preserve">Der Schaden an der </w:t>
      </w:r>
      <w:r w:rsidR="00695D72">
        <w:rPr>
          <w:sz w:val="22"/>
          <w:lang w:val="de-DE"/>
        </w:rPr>
        <w:t>Cármenes del Mar-U</w:t>
      </w:r>
      <w:r w:rsidR="00695D72" w:rsidRPr="00695D72">
        <w:rPr>
          <w:sz w:val="22"/>
          <w:lang w:val="de-DE"/>
        </w:rPr>
        <w:t>rbanisation</w:t>
      </w:r>
      <w:r w:rsidR="00695D72">
        <w:rPr>
          <w:sz w:val="22"/>
          <w:lang w:val="de-DE"/>
        </w:rPr>
        <w:t xml:space="preserve"> </w:t>
      </w:r>
      <w:r w:rsidR="006535D0">
        <w:rPr>
          <w:sz w:val="22"/>
          <w:lang w:val="de-DE"/>
        </w:rPr>
        <w:t>wirkt sich auf</w:t>
      </w:r>
      <w:r w:rsidR="00695D72">
        <w:rPr>
          <w:sz w:val="22"/>
          <w:lang w:val="de-DE"/>
        </w:rPr>
        <w:t xml:space="preserve"> alle Eigentümerverbände</w:t>
      </w:r>
      <w:r w:rsidR="006535D0">
        <w:rPr>
          <w:sz w:val="22"/>
          <w:lang w:val="de-DE"/>
        </w:rPr>
        <w:t xml:space="preserve"> aus</w:t>
      </w:r>
      <w:r w:rsidR="00695D72">
        <w:rPr>
          <w:sz w:val="22"/>
          <w:lang w:val="de-DE"/>
        </w:rPr>
        <w:t xml:space="preserve">, selbst </w:t>
      </w:r>
      <w:r w:rsidR="006535D0">
        <w:rPr>
          <w:sz w:val="22"/>
          <w:lang w:val="de-DE"/>
        </w:rPr>
        <w:t xml:space="preserve">auf </w:t>
      </w:r>
      <w:r w:rsidR="00695D72">
        <w:rPr>
          <w:sz w:val="22"/>
          <w:lang w:val="de-DE"/>
        </w:rPr>
        <w:t>diejenigen, deren individuelle Häuser keinen Schaden erlitten. Sie müssen sich bewusst sein, dass allgemeine Systeme (Straßen, Wasser und Abwasser, Strom usw.) allen gehören, allen Nachbarn proportional zu ihrem Eigentum. Die</w:t>
      </w:r>
      <w:r w:rsidR="00695D72" w:rsidRPr="00695D72">
        <w:rPr>
          <w:i/>
          <w:sz w:val="22"/>
          <w:lang w:val="de-DE"/>
        </w:rPr>
        <w:t xml:space="preserve"> Ayuntamiento</w:t>
      </w:r>
      <w:r w:rsidR="00695D72">
        <w:rPr>
          <w:sz w:val="22"/>
          <w:lang w:val="de-DE"/>
        </w:rPr>
        <w:t xml:space="preserve"> hat die Übergabe der Urbanisation nicht genehmigt und ist deshalb nicht direkt reparaturpflichtig. Der Bauherr (in Konkurs) wird keine Reparaturen ausführen</w:t>
      </w:r>
      <w:r w:rsidR="006535D0">
        <w:rPr>
          <w:sz w:val="22"/>
          <w:lang w:val="de-DE"/>
        </w:rPr>
        <w:t>,</w:t>
      </w:r>
      <w:r w:rsidR="00695D72">
        <w:rPr>
          <w:sz w:val="22"/>
          <w:lang w:val="de-DE"/>
        </w:rPr>
        <w:t xml:space="preserve"> die</w:t>
      </w:r>
      <w:r w:rsidR="00695D72" w:rsidRPr="00695D72">
        <w:rPr>
          <w:i/>
          <w:sz w:val="22"/>
          <w:lang w:val="de-DE"/>
        </w:rPr>
        <w:t xml:space="preserve"> Ayuntamiento</w:t>
      </w:r>
      <w:r w:rsidR="00695D72">
        <w:rPr>
          <w:sz w:val="22"/>
          <w:lang w:val="de-DE"/>
        </w:rPr>
        <w:t xml:space="preserve"> muss dies</w:t>
      </w:r>
      <w:r w:rsidR="006535D0">
        <w:rPr>
          <w:sz w:val="22"/>
          <w:lang w:val="de-DE"/>
        </w:rPr>
        <w:t>e</w:t>
      </w:r>
      <w:r w:rsidR="00695D72">
        <w:rPr>
          <w:sz w:val="22"/>
          <w:lang w:val="de-DE"/>
        </w:rPr>
        <w:t xml:space="preserve"> als Nebenpflicht </w:t>
      </w:r>
      <w:r w:rsidR="006535D0">
        <w:rPr>
          <w:sz w:val="22"/>
          <w:lang w:val="de-DE"/>
        </w:rPr>
        <w:t>vornehmen</w:t>
      </w:r>
      <w:r w:rsidR="00695D72">
        <w:rPr>
          <w:sz w:val="22"/>
          <w:lang w:val="de-DE"/>
        </w:rPr>
        <w:t>, hat aber das entsprechende Verwaltungsverfahren nicht eingeleitet. Die konzipierte und von vielen Anwohnern, die keinen Schaden an ihren Häusern erlitten haben, vorgeschlagene Lösung</w:t>
      </w:r>
      <w:r w:rsidR="003C63A8">
        <w:rPr>
          <w:sz w:val="22"/>
          <w:lang w:val="de-DE"/>
        </w:rPr>
        <w:t xml:space="preserve"> ist in dieser Situation </w:t>
      </w:r>
      <w:r w:rsidR="006535D0">
        <w:rPr>
          <w:sz w:val="22"/>
          <w:lang w:val="de-DE"/>
        </w:rPr>
        <w:t>evt.</w:t>
      </w:r>
      <w:r w:rsidR="003C63A8">
        <w:rPr>
          <w:sz w:val="22"/>
          <w:lang w:val="de-DE"/>
        </w:rPr>
        <w:t xml:space="preserve"> durchführbar, wenn die </w:t>
      </w:r>
      <w:r w:rsidR="003C63A8" w:rsidRPr="00DA2DD7">
        <w:rPr>
          <w:i/>
          <w:sz w:val="22"/>
          <w:lang w:val="de-DE"/>
        </w:rPr>
        <w:t>Ayuntamiento</w:t>
      </w:r>
      <w:r w:rsidR="003C63A8">
        <w:rPr>
          <w:sz w:val="22"/>
          <w:lang w:val="de-DE"/>
        </w:rPr>
        <w:t xml:space="preserve"> oder die </w:t>
      </w:r>
      <w:r w:rsidR="00DA2DD7" w:rsidRPr="00DA2DD7">
        <w:rPr>
          <w:i/>
          <w:sz w:val="22"/>
          <w:lang w:val="de-DE"/>
        </w:rPr>
        <w:t>Junta de Andaluci</w:t>
      </w:r>
      <w:r w:rsidR="00DA2DD7" w:rsidRPr="00DA2DD7">
        <w:rPr>
          <w:sz w:val="22"/>
          <w:lang w:val="de-DE"/>
        </w:rPr>
        <w:t xml:space="preserve">a </w:t>
      </w:r>
      <w:r w:rsidR="003C63A8">
        <w:rPr>
          <w:sz w:val="22"/>
          <w:lang w:val="de-DE"/>
        </w:rPr>
        <w:t>bereit</w:t>
      </w:r>
      <w:r w:rsidR="006535D0">
        <w:rPr>
          <w:sz w:val="22"/>
          <w:lang w:val="de-DE"/>
        </w:rPr>
        <w:t xml:space="preserve"> wären, das Problem so zu lösen. D</w:t>
      </w:r>
      <w:r w:rsidR="00DA2DD7">
        <w:rPr>
          <w:sz w:val="22"/>
          <w:lang w:val="de-DE"/>
        </w:rPr>
        <w:t xml:space="preserve">ie </w:t>
      </w:r>
      <w:r w:rsidR="00DA2DD7" w:rsidRPr="00DA2DD7">
        <w:rPr>
          <w:i/>
          <w:sz w:val="22"/>
          <w:lang w:val="de-DE"/>
        </w:rPr>
        <w:t>Ayuntamiento</w:t>
      </w:r>
      <w:r w:rsidR="00DA2DD7" w:rsidRPr="00DA2DD7">
        <w:rPr>
          <w:sz w:val="22"/>
          <w:lang w:val="de-DE"/>
        </w:rPr>
        <w:t xml:space="preserve"> </w:t>
      </w:r>
      <w:r w:rsidR="00DA2DD7">
        <w:rPr>
          <w:sz w:val="22"/>
          <w:lang w:val="de-DE"/>
        </w:rPr>
        <w:t xml:space="preserve">ist </w:t>
      </w:r>
      <w:r w:rsidR="006535D0">
        <w:rPr>
          <w:sz w:val="22"/>
          <w:lang w:val="de-DE"/>
        </w:rPr>
        <w:t xml:space="preserve">jedoch </w:t>
      </w:r>
      <w:r w:rsidR="00DA2DD7">
        <w:rPr>
          <w:sz w:val="22"/>
          <w:lang w:val="de-DE"/>
        </w:rPr>
        <w:t xml:space="preserve">nicht bereit, die </w:t>
      </w:r>
      <w:r w:rsidR="000B4DF7">
        <w:rPr>
          <w:sz w:val="22"/>
          <w:lang w:val="de-DE"/>
        </w:rPr>
        <w:t xml:space="preserve">Räumung der </w:t>
      </w:r>
      <w:r w:rsidR="00DA2DD7">
        <w:rPr>
          <w:sz w:val="22"/>
          <w:lang w:val="de-DE"/>
        </w:rPr>
        <w:t xml:space="preserve">beeinträchtigten Häuser </w:t>
      </w:r>
      <w:r w:rsidR="000B4DF7">
        <w:rPr>
          <w:sz w:val="22"/>
          <w:lang w:val="de-DE"/>
        </w:rPr>
        <w:t>zu erzwingen, sie</w:t>
      </w:r>
      <w:r w:rsidR="00DA2DD7">
        <w:rPr>
          <w:sz w:val="22"/>
          <w:lang w:val="de-DE"/>
        </w:rPr>
        <w:t xml:space="preserve"> abzureißen und den Rest zu stabilisieren.</w:t>
      </w:r>
      <w:r w:rsidR="000B4DF7">
        <w:rPr>
          <w:sz w:val="22"/>
          <w:lang w:val="de-DE"/>
        </w:rPr>
        <w:t xml:space="preserve"> Niemand kann momentan garantieren, dass die Absenkungsbewegungen nicht letztendlich auch noch alle Urbanisationen beeinträchtigen werden. Im Gegenteil, nach Einschätzung der </w:t>
      </w:r>
      <w:r w:rsidR="006535D0">
        <w:rPr>
          <w:sz w:val="22"/>
          <w:lang w:val="de-DE"/>
        </w:rPr>
        <w:t>Bauexperten</w:t>
      </w:r>
      <w:r w:rsidR="000B4DF7">
        <w:rPr>
          <w:sz w:val="22"/>
          <w:lang w:val="de-DE"/>
        </w:rPr>
        <w:t xml:space="preserve"> bewegt sich die Absenkung nach oben und die Urbanisationen in den oberen Gebieten verursachen Erdrutsche und Risse, durch die Wasser in die unteren Gebiete sickert.</w:t>
      </w:r>
    </w:p>
    <w:p w:rsidR="001054CC" w:rsidRPr="00695D72" w:rsidRDefault="001054CC" w:rsidP="007A42D8">
      <w:pPr>
        <w:pStyle w:val="CM8"/>
        <w:spacing w:line="291" w:lineRule="atLeast"/>
        <w:ind w:firstLine="707"/>
        <w:jc w:val="both"/>
        <w:rPr>
          <w:sz w:val="22"/>
          <w:lang w:val="de-DE"/>
        </w:rPr>
      </w:pPr>
    </w:p>
    <w:p w:rsidR="007A42D8" w:rsidRPr="004C0320" w:rsidRDefault="004C0320" w:rsidP="007A42D8">
      <w:pPr>
        <w:pStyle w:val="CM8"/>
        <w:spacing w:line="291" w:lineRule="atLeast"/>
        <w:ind w:firstLine="707"/>
        <w:jc w:val="both"/>
        <w:rPr>
          <w:sz w:val="22"/>
          <w:szCs w:val="22"/>
          <w:lang w:val="de-DE"/>
        </w:rPr>
      </w:pPr>
      <w:r w:rsidRPr="004C0320">
        <w:rPr>
          <w:sz w:val="22"/>
          <w:szCs w:val="22"/>
          <w:lang w:val="de-DE"/>
        </w:rPr>
        <w:t>Es ist auch nicht realistisch, eine Lösung in Erwägung zu ziehen, welche die am meisten beeinträchtigten Urbanisa</w:t>
      </w:r>
      <w:r>
        <w:rPr>
          <w:sz w:val="22"/>
          <w:szCs w:val="22"/>
          <w:lang w:val="de-DE"/>
        </w:rPr>
        <w:t>tionen ausschließt, da die betroffenen Anwohner nicht bereit sind, ihre Häuser zu verlieren, um die restliche Urbanisation zu stabilisieren.</w:t>
      </w:r>
    </w:p>
    <w:p w:rsidR="007A42D8" w:rsidRDefault="007A42D8" w:rsidP="003C4107">
      <w:pPr>
        <w:pStyle w:val="CM8"/>
        <w:spacing w:line="291" w:lineRule="atLeast"/>
        <w:ind w:firstLine="707"/>
        <w:jc w:val="both"/>
        <w:rPr>
          <w:sz w:val="22"/>
          <w:szCs w:val="22"/>
        </w:rPr>
      </w:pPr>
    </w:p>
    <w:p w:rsidR="004C0320" w:rsidRPr="004C0320" w:rsidRDefault="004C0320" w:rsidP="003C4107">
      <w:pPr>
        <w:pStyle w:val="CM8"/>
        <w:spacing w:line="291" w:lineRule="atLeast"/>
        <w:ind w:firstLine="707"/>
        <w:jc w:val="both"/>
        <w:rPr>
          <w:color w:val="000000"/>
          <w:sz w:val="22"/>
          <w:szCs w:val="22"/>
          <w:lang w:val="de-DE"/>
        </w:rPr>
      </w:pPr>
      <w:r w:rsidRPr="004C0320">
        <w:rPr>
          <w:color w:val="000000"/>
          <w:sz w:val="22"/>
          <w:szCs w:val="22"/>
          <w:lang w:val="de-DE"/>
        </w:rPr>
        <w:t>Sind Sie damit einverstanden, eine Schutzorganisation / Gemeinsame Vereinigung zu gründen?</w:t>
      </w:r>
    </w:p>
    <w:p w:rsidR="007A42D8" w:rsidRPr="008B00E7" w:rsidRDefault="007A42D8" w:rsidP="003C4107">
      <w:pPr>
        <w:pStyle w:val="CM7"/>
        <w:spacing w:line="291" w:lineRule="atLeast"/>
        <w:ind w:firstLine="707"/>
        <w:jc w:val="both"/>
        <w:rPr>
          <w:sz w:val="22"/>
          <w:szCs w:val="22"/>
        </w:rPr>
      </w:pPr>
    </w:p>
    <w:p w:rsidR="004C0320" w:rsidRPr="004C0320" w:rsidRDefault="002D14FE" w:rsidP="003C4107">
      <w:pPr>
        <w:pStyle w:val="CM7"/>
        <w:spacing w:line="291" w:lineRule="atLeast"/>
        <w:ind w:firstLine="707"/>
        <w:jc w:val="both"/>
        <w:rPr>
          <w:sz w:val="22"/>
          <w:lang w:val="de-DE"/>
        </w:rPr>
      </w:pPr>
      <w:r w:rsidRPr="004C0320">
        <w:rPr>
          <w:sz w:val="22"/>
          <w:lang w:val="de-DE"/>
        </w:rPr>
        <w:t xml:space="preserve">Hilario Aranda </w:t>
      </w:r>
      <w:r w:rsidR="004C0320" w:rsidRPr="004C0320">
        <w:rPr>
          <w:sz w:val="22"/>
          <w:lang w:val="de-DE"/>
        </w:rPr>
        <w:t xml:space="preserve">ist der Meinung, dass ein Koordinationsgremium der Anwohner zur Entscheidungsfindung wesentlich ist, </w:t>
      </w:r>
      <w:r w:rsidR="004C0320">
        <w:rPr>
          <w:sz w:val="22"/>
          <w:lang w:val="de-DE"/>
        </w:rPr>
        <w:t xml:space="preserve">egal ob es eine gemeinsame Vereinigung oder ein einfacher Nachbarschaftsverein ist. Die „Schutzorganisation″ muss im Einklang mit dem Stadtplanungsrecht von Andalusien auf Antrag der </w:t>
      </w:r>
      <w:r w:rsidR="004C0320" w:rsidRPr="004C0320">
        <w:rPr>
          <w:i/>
          <w:sz w:val="22"/>
          <w:lang w:val="de-DE"/>
        </w:rPr>
        <w:t>Ayuntamiento</w:t>
      </w:r>
      <w:r w:rsidR="004C0320">
        <w:rPr>
          <w:sz w:val="22"/>
          <w:lang w:val="de-DE"/>
        </w:rPr>
        <w:t xml:space="preserve"> gegründet werden, aber bisher hat die </w:t>
      </w:r>
      <w:r w:rsidR="004C0320" w:rsidRPr="004C0320">
        <w:rPr>
          <w:i/>
          <w:sz w:val="22"/>
          <w:lang w:val="de-DE"/>
        </w:rPr>
        <w:t>Ayuntamiento</w:t>
      </w:r>
      <w:r w:rsidR="004C0320">
        <w:rPr>
          <w:sz w:val="22"/>
          <w:lang w:val="de-DE"/>
        </w:rPr>
        <w:t xml:space="preserve"> </w:t>
      </w:r>
      <w:r w:rsidR="005C5B22">
        <w:rPr>
          <w:sz w:val="22"/>
          <w:lang w:val="de-DE"/>
        </w:rPr>
        <w:t xml:space="preserve">noch </w:t>
      </w:r>
      <w:r w:rsidR="004C0320">
        <w:rPr>
          <w:sz w:val="22"/>
          <w:lang w:val="de-DE"/>
        </w:rPr>
        <w:t>keinen rechtsgültigen Antrag gestellt.</w:t>
      </w:r>
    </w:p>
    <w:p w:rsidR="004C0320" w:rsidRPr="004C0320" w:rsidRDefault="004C0320" w:rsidP="003C4107">
      <w:pPr>
        <w:pStyle w:val="CM7"/>
        <w:spacing w:line="291" w:lineRule="atLeast"/>
        <w:ind w:firstLine="707"/>
        <w:jc w:val="both"/>
        <w:rPr>
          <w:sz w:val="22"/>
          <w:lang w:val="de-DE"/>
        </w:rPr>
      </w:pPr>
    </w:p>
    <w:p w:rsidR="007A42D8" w:rsidRPr="005C5B22" w:rsidRDefault="007A42D8" w:rsidP="003C4107">
      <w:pPr>
        <w:pStyle w:val="CM7"/>
        <w:spacing w:line="291" w:lineRule="atLeast"/>
        <w:ind w:firstLine="707"/>
        <w:jc w:val="both"/>
        <w:rPr>
          <w:sz w:val="22"/>
          <w:szCs w:val="22"/>
          <w:lang w:val="de-DE"/>
        </w:rPr>
      </w:pPr>
    </w:p>
    <w:p w:rsidR="005C5B22" w:rsidRPr="005C5B22" w:rsidRDefault="005C5B22" w:rsidP="003C4107">
      <w:pPr>
        <w:pStyle w:val="CM7"/>
        <w:spacing w:line="291" w:lineRule="atLeast"/>
        <w:ind w:firstLine="707"/>
        <w:jc w:val="both"/>
        <w:rPr>
          <w:sz w:val="22"/>
          <w:lang w:val="de-DE"/>
        </w:rPr>
      </w:pPr>
      <w:r w:rsidRPr="005C5B22">
        <w:rPr>
          <w:sz w:val="22"/>
          <w:lang w:val="de-DE"/>
        </w:rPr>
        <w:t>Ungefährer Haushalt der Rechtsanwaltsfirma in Bezug auf die Kosten des Gerichtsverfahrens:</w:t>
      </w:r>
    </w:p>
    <w:p w:rsidR="005C5B22" w:rsidRPr="005C5B22" w:rsidRDefault="005C5B22" w:rsidP="005C5B22">
      <w:pPr>
        <w:pStyle w:val="Default"/>
        <w:rPr>
          <w:sz w:val="22"/>
          <w:szCs w:val="22"/>
          <w:lang w:val="de-DE"/>
        </w:rPr>
      </w:pPr>
    </w:p>
    <w:p w:rsidR="005C5B22" w:rsidRPr="005C5B22" w:rsidRDefault="005C5B22" w:rsidP="005C5B22">
      <w:pPr>
        <w:pStyle w:val="Default"/>
        <w:rPr>
          <w:sz w:val="22"/>
          <w:szCs w:val="22"/>
          <w:lang w:val="de-DE"/>
        </w:rPr>
      </w:pPr>
      <w:r w:rsidRPr="005C5B22">
        <w:rPr>
          <w:sz w:val="22"/>
          <w:szCs w:val="22"/>
          <w:lang w:val="de-DE"/>
        </w:rPr>
        <w:t>Im Anhang befindet sich eine Zusammenfassung des Kostenvoranschlags für das vorgeschlagene Gerichtsverfahren.</w:t>
      </w:r>
      <w:r w:rsidR="0088037D" w:rsidRPr="0088037D">
        <w:rPr>
          <w:lang w:val="de-DE"/>
        </w:rPr>
        <w:t xml:space="preserve"> </w:t>
      </w:r>
      <w:r w:rsidR="0088037D">
        <w:rPr>
          <w:noProof/>
          <w:sz w:val="22"/>
          <w:szCs w:val="22"/>
          <w:lang w:bidi="ar-SA"/>
        </w:rPr>
        <w:lastRenderedPageBreak/>
        <w:drawing>
          <wp:inline distT="0" distB="0" distL="0" distR="0">
            <wp:extent cx="6133465" cy="3992221"/>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465" cy="3992221"/>
                    </a:xfrm>
                    <a:prstGeom prst="rect">
                      <a:avLst/>
                    </a:prstGeom>
                    <a:noFill/>
                    <a:ln>
                      <a:noFill/>
                    </a:ln>
                  </pic:spPr>
                </pic:pic>
              </a:graphicData>
            </a:graphic>
          </wp:inline>
        </w:drawing>
      </w:r>
      <w:bookmarkStart w:id="0" w:name="_GoBack"/>
      <w:bookmarkEnd w:id="0"/>
    </w:p>
    <w:p w:rsidR="005C5B22" w:rsidRPr="005C5B22" w:rsidRDefault="005C5B22" w:rsidP="003C4107">
      <w:pPr>
        <w:pStyle w:val="CM7"/>
        <w:spacing w:line="291" w:lineRule="atLeast"/>
        <w:ind w:firstLine="707"/>
        <w:jc w:val="both"/>
        <w:rPr>
          <w:sz w:val="22"/>
          <w:lang w:val="de-DE"/>
        </w:rPr>
      </w:pPr>
    </w:p>
    <w:sectPr w:rsidR="005C5B22" w:rsidRPr="005C5B22" w:rsidSect="008E4F4B">
      <w:pgSz w:w="11906" w:h="17338"/>
      <w:pgMar w:top="1166" w:right="1347"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8A" w:rsidRDefault="008B548A" w:rsidP="009D52EA">
      <w:pPr>
        <w:spacing w:after="0" w:line="240" w:lineRule="auto"/>
      </w:pPr>
      <w:r>
        <w:separator/>
      </w:r>
    </w:p>
  </w:endnote>
  <w:endnote w:type="continuationSeparator" w:id="0">
    <w:p w:rsidR="008B548A" w:rsidRDefault="008B548A" w:rsidP="009D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8A" w:rsidRDefault="008B548A" w:rsidP="009D52EA">
      <w:pPr>
        <w:spacing w:after="0" w:line="240" w:lineRule="auto"/>
      </w:pPr>
      <w:r>
        <w:separator/>
      </w:r>
    </w:p>
  </w:footnote>
  <w:footnote w:type="continuationSeparator" w:id="0">
    <w:p w:rsidR="008B548A" w:rsidRDefault="008B548A" w:rsidP="009D52EA">
      <w:pPr>
        <w:spacing w:after="0" w:line="240" w:lineRule="auto"/>
      </w:pPr>
      <w:r>
        <w:continuationSeparator/>
      </w:r>
    </w:p>
  </w:footnote>
  <w:footnote w:id="1">
    <w:p w:rsidR="009D52EA" w:rsidRPr="009D52EA" w:rsidRDefault="009D52EA">
      <w:pPr>
        <w:pStyle w:val="FootnoteText"/>
        <w:rPr>
          <w:lang w:val="de-DE"/>
        </w:rPr>
      </w:pPr>
      <w:r>
        <w:rPr>
          <w:rStyle w:val="FootnoteReference"/>
        </w:rPr>
        <w:footnoteRef/>
      </w:r>
      <w:r w:rsidRPr="009D52EA">
        <w:rPr>
          <w:lang w:val="de-DE"/>
        </w:rPr>
        <w:t xml:space="preserve"> </w:t>
      </w:r>
      <w:r>
        <w:rPr>
          <w:lang w:val="de-DE"/>
        </w:rPr>
        <w:t xml:space="preserve">Anm. d. Ü.: „administration″ wurde hier als </w:t>
      </w:r>
      <w:r w:rsidR="006535D0">
        <w:rPr>
          <w:lang w:val="de-DE"/>
        </w:rPr>
        <w:t>„</w:t>
      </w:r>
      <w:r>
        <w:rPr>
          <w:lang w:val="de-DE"/>
        </w:rPr>
        <w:t>Regierung</w:t>
      </w:r>
      <w:r w:rsidR="006535D0">
        <w:rPr>
          <w:lang w:val="de-DE"/>
        </w:rPr>
        <w:t>″</w:t>
      </w:r>
      <w:r>
        <w:rPr>
          <w:lang w:val="de-DE"/>
        </w:rPr>
        <w:t xml:space="preserve"> übersetzt, kann aber auch „Verwaltung″ bedeuten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07"/>
    <w:rsid w:val="0001775F"/>
    <w:rsid w:val="00047757"/>
    <w:rsid w:val="00056D50"/>
    <w:rsid w:val="000A0B24"/>
    <w:rsid w:val="000B4DF7"/>
    <w:rsid w:val="001054CC"/>
    <w:rsid w:val="00113D62"/>
    <w:rsid w:val="00182BAE"/>
    <w:rsid w:val="001A42E8"/>
    <w:rsid w:val="002B190B"/>
    <w:rsid w:val="002D14FE"/>
    <w:rsid w:val="002F20C5"/>
    <w:rsid w:val="002F26E1"/>
    <w:rsid w:val="00363830"/>
    <w:rsid w:val="00365018"/>
    <w:rsid w:val="003C0FD0"/>
    <w:rsid w:val="003C4107"/>
    <w:rsid w:val="003C63A8"/>
    <w:rsid w:val="003F2450"/>
    <w:rsid w:val="0048676F"/>
    <w:rsid w:val="004B1B24"/>
    <w:rsid w:val="004C0320"/>
    <w:rsid w:val="004E1C94"/>
    <w:rsid w:val="005463CD"/>
    <w:rsid w:val="005C5B22"/>
    <w:rsid w:val="006457DE"/>
    <w:rsid w:val="006535D0"/>
    <w:rsid w:val="00695D72"/>
    <w:rsid w:val="006D769A"/>
    <w:rsid w:val="007A42D8"/>
    <w:rsid w:val="008171C2"/>
    <w:rsid w:val="00863E9E"/>
    <w:rsid w:val="0088037D"/>
    <w:rsid w:val="008B00E7"/>
    <w:rsid w:val="008B548A"/>
    <w:rsid w:val="008C69D0"/>
    <w:rsid w:val="008E4F4B"/>
    <w:rsid w:val="00935832"/>
    <w:rsid w:val="00957DFB"/>
    <w:rsid w:val="009B1BF1"/>
    <w:rsid w:val="009B43AC"/>
    <w:rsid w:val="009B75D4"/>
    <w:rsid w:val="009D52EA"/>
    <w:rsid w:val="009F0291"/>
    <w:rsid w:val="009F18D2"/>
    <w:rsid w:val="009F7EDA"/>
    <w:rsid w:val="00A23A27"/>
    <w:rsid w:val="00A53528"/>
    <w:rsid w:val="00AF1D79"/>
    <w:rsid w:val="00B4219C"/>
    <w:rsid w:val="00B43C3C"/>
    <w:rsid w:val="00BA1378"/>
    <w:rsid w:val="00C51C9D"/>
    <w:rsid w:val="00D13099"/>
    <w:rsid w:val="00D43184"/>
    <w:rsid w:val="00DA2DD7"/>
    <w:rsid w:val="00F35EBA"/>
    <w:rsid w:val="00F52764"/>
    <w:rsid w:val="00FA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1">
    <w:name w:val="CM1"/>
    <w:basedOn w:val="Default"/>
    <w:next w:val="Default"/>
    <w:uiPriority w:val="99"/>
    <w:pPr>
      <w:spacing w:line="293" w:lineRule="atLeast"/>
    </w:pPr>
    <w:rPr>
      <w:color w:val="auto"/>
    </w:rPr>
  </w:style>
  <w:style w:type="paragraph" w:customStyle="1" w:styleId="CM2">
    <w:name w:val="CM2"/>
    <w:basedOn w:val="Default"/>
    <w:next w:val="Default"/>
    <w:uiPriority w:val="99"/>
    <w:pPr>
      <w:spacing w:line="293" w:lineRule="atLeast"/>
    </w:pPr>
    <w:rPr>
      <w:color w:val="auto"/>
    </w:rPr>
  </w:style>
  <w:style w:type="paragraph" w:customStyle="1" w:styleId="CM3">
    <w:name w:val="CM3"/>
    <w:basedOn w:val="Default"/>
    <w:next w:val="Default"/>
    <w:uiPriority w:val="99"/>
    <w:pPr>
      <w:spacing w:line="293"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pPr>
      <w:spacing w:line="291" w:lineRule="atLeast"/>
    </w:pPr>
    <w:rPr>
      <w:color w:val="auto"/>
    </w:rPr>
  </w:style>
  <w:style w:type="paragraph" w:customStyle="1" w:styleId="CM6">
    <w:name w:val="CM6"/>
    <w:basedOn w:val="Default"/>
    <w:next w:val="Default"/>
    <w:uiPriority w:val="99"/>
    <w:pPr>
      <w:spacing w:line="293" w:lineRule="atLeast"/>
    </w:pPr>
    <w:rPr>
      <w:color w:val="auto"/>
    </w:rPr>
  </w:style>
  <w:style w:type="paragraph" w:styleId="BalloonText">
    <w:name w:val="Balloon Text"/>
    <w:basedOn w:val="Normal"/>
    <w:link w:val="BalloonTextChar"/>
    <w:uiPriority w:val="99"/>
    <w:semiHidden/>
    <w:unhideWhenUsed/>
    <w:rsid w:val="008B0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0E7"/>
    <w:rPr>
      <w:rFonts w:ascii="Tahoma" w:hAnsi="Tahoma" w:cs="Tahoma"/>
      <w:sz w:val="16"/>
      <w:szCs w:val="16"/>
    </w:rPr>
  </w:style>
  <w:style w:type="paragraph" w:styleId="FootnoteText">
    <w:name w:val="footnote text"/>
    <w:basedOn w:val="Normal"/>
    <w:link w:val="FootnoteTextChar"/>
    <w:uiPriority w:val="99"/>
    <w:semiHidden/>
    <w:unhideWhenUsed/>
    <w:rsid w:val="009D5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2EA"/>
    <w:rPr>
      <w:sz w:val="20"/>
      <w:szCs w:val="20"/>
    </w:rPr>
  </w:style>
  <w:style w:type="character" w:styleId="FootnoteReference">
    <w:name w:val="footnote reference"/>
    <w:basedOn w:val="DefaultParagraphFont"/>
    <w:uiPriority w:val="99"/>
    <w:semiHidden/>
    <w:unhideWhenUsed/>
    <w:rsid w:val="009D52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1">
    <w:name w:val="CM1"/>
    <w:basedOn w:val="Default"/>
    <w:next w:val="Default"/>
    <w:uiPriority w:val="99"/>
    <w:pPr>
      <w:spacing w:line="293" w:lineRule="atLeast"/>
    </w:pPr>
    <w:rPr>
      <w:color w:val="auto"/>
    </w:rPr>
  </w:style>
  <w:style w:type="paragraph" w:customStyle="1" w:styleId="CM2">
    <w:name w:val="CM2"/>
    <w:basedOn w:val="Default"/>
    <w:next w:val="Default"/>
    <w:uiPriority w:val="99"/>
    <w:pPr>
      <w:spacing w:line="293" w:lineRule="atLeast"/>
    </w:pPr>
    <w:rPr>
      <w:color w:val="auto"/>
    </w:rPr>
  </w:style>
  <w:style w:type="paragraph" w:customStyle="1" w:styleId="CM3">
    <w:name w:val="CM3"/>
    <w:basedOn w:val="Default"/>
    <w:next w:val="Default"/>
    <w:uiPriority w:val="99"/>
    <w:pPr>
      <w:spacing w:line="293"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pPr>
      <w:spacing w:line="291" w:lineRule="atLeast"/>
    </w:pPr>
    <w:rPr>
      <w:color w:val="auto"/>
    </w:rPr>
  </w:style>
  <w:style w:type="paragraph" w:customStyle="1" w:styleId="CM6">
    <w:name w:val="CM6"/>
    <w:basedOn w:val="Default"/>
    <w:next w:val="Default"/>
    <w:uiPriority w:val="99"/>
    <w:pPr>
      <w:spacing w:line="293" w:lineRule="atLeast"/>
    </w:pPr>
    <w:rPr>
      <w:color w:val="auto"/>
    </w:rPr>
  </w:style>
  <w:style w:type="paragraph" w:styleId="BalloonText">
    <w:name w:val="Balloon Text"/>
    <w:basedOn w:val="Normal"/>
    <w:link w:val="BalloonTextChar"/>
    <w:uiPriority w:val="99"/>
    <w:semiHidden/>
    <w:unhideWhenUsed/>
    <w:rsid w:val="008B0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0E7"/>
    <w:rPr>
      <w:rFonts w:ascii="Tahoma" w:hAnsi="Tahoma" w:cs="Tahoma"/>
      <w:sz w:val="16"/>
      <w:szCs w:val="16"/>
    </w:rPr>
  </w:style>
  <w:style w:type="paragraph" w:styleId="FootnoteText">
    <w:name w:val="footnote text"/>
    <w:basedOn w:val="Normal"/>
    <w:link w:val="FootnoteTextChar"/>
    <w:uiPriority w:val="99"/>
    <w:semiHidden/>
    <w:unhideWhenUsed/>
    <w:rsid w:val="009D5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2EA"/>
    <w:rPr>
      <w:sz w:val="20"/>
      <w:szCs w:val="20"/>
    </w:rPr>
  </w:style>
  <w:style w:type="character" w:styleId="FootnoteReference">
    <w:name w:val="footnote reference"/>
    <w:basedOn w:val="DefaultParagraphFont"/>
    <w:uiPriority w:val="99"/>
    <w:semiHidden/>
    <w:unhideWhenUsed/>
    <w:rsid w:val="009D5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4D93A-F76D-48F4-B51A-C57DBBD3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1252</Words>
  <Characters>7141</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David</cp:lastModifiedBy>
  <cp:revision>2</cp:revision>
  <dcterms:created xsi:type="dcterms:W3CDTF">2014-04-02T16:41:00Z</dcterms:created>
  <dcterms:modified xsi:type="dcterms:W3CDTF">2014-04-02T16:41:00Z</dcterms:modified>
</cp:coreProperties>
</file>